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E860F" w14:textId="77777777" w:rsidR="00776114" w:rsidRDefault="00776114" w:rsidP="00F262C1">
      <w:pPr>
        <w:spacing w:line="276" w:lineRule="auto"/>
        <w:jc w:val="right"/>
        <w:rPr>
          <w:rFonts w:asciiTheme="minorHAnsi" w:hAnsiTheme="minorHAnsi" w:cs="Segoe UI"/>
          <w:b/>
          <w:sz w:val="20"/>
          <w:szCs w:val="20"/>
        </w:rPr>
      </w:pPr>
      <w:r w:rsidRPr="00AA42A8">
        <w:rPr>
          <w:rFonts w:asciiTheme="minorHAnsi" w:hAnsiTheme="minorHAnsi" w:cs="Segoe U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2FBBBF" wp14:editId="6A426C58">
                <wp:simplePos x="0" y="0"/>
                <wp:positionH relativeFrom="margin">
                  <wp:align>left</wp:align>
                </wp:positionH>
                <wp:positionV relativeFrom="page">
                  <wp:posOffset>396240</wp:posOffset>
                </wp:positionV>
                <wp:extent cx="6620400" cy="579600"/>
                <wp:effectExtent l="0" t="0" r="28575" b="11430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400" cy="5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737F7" w14:textId="77777777" w:rsidR="00776114" w:rsidRDefault="00776114" w:rsidP="00776114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="Segoe UI"/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A0AF680" wp14:editId="019F5F86">
                                  <wp:extent cx="6205220" cy="586740"/>
                                  <wp:effectExtent l="0" t="0" r="5080" b="3810"/>
                                  <wp:docPr id="3" name="Bil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SS logo Horisontal SSHF sist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05220" cy="586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4B6A3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0;margin-top:31.2pt;width:521.3pt;height:45.6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" strokecolor="#d9d9d9" strokeweight="1pt">
                <v:textbox>
                  <w:txbxContent>
                    <w:p w:rsidR="00776114" w:rsidRDefault="00776114" w:rsidP="00776114">
                      <w:pPr>
                        <w:jc w:val="center"/>
                      </w:pPr>
                      <w:r>
                        <w:rPr>
                          <w:rFonts w:asciiTheme="minorHAnsi" w:hAnsiTheme="minorHAnsi" w:cs="Segoe UI"/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C6925D9" wp14:editId="28DDC21C">
                            <wp:extent cx="6205220" cy="586740"/>
                            <wp:effectExtent l="0" t="0" r="5080" b="3810"/>
                            <wp:docPr id="3" name="Bil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SS logo Horisontal SSHF sist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05220" cy="586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EB9DA18" w14:textId="77777777" w:rsidR="00776114" w:rsidRDefault="00776114" w:rsidP="00F262C1">
      <w:pPr>
        <w:spacing w:line="276" w:lineRule="auto"/>
        <w:jc w:val="right"/>
        <w:rPr>
          <w:rFonts w:asciiTheme="minorHAnsi" w:hAnsiTheme="minorHAnsi" w:cs="Segoe UI"/>
          <w:b/>
          <w:sz w:val="20"/>
          <w:szCs w:val="20"/>
        </w:rPr>
      </w:pPr>
    </w:p>
    <w:p w14:paraId="6AF0B317" w14:textId="77777777" w:rsidR="00776114" w:rsidRDefault="00776114" w:rsidP="00F262C1">
      <w:pPr>
        <w:spacing w:line="276" w:lineRule="auto"/>
        <w:jc w:val="right"/>
        <w:rPr>
          <w:rFonts w:asciiTheme="minorHAnsi" w:hAnsiTheme="minorHAnsi" w:cs="Segoe UI"/>
          <w:b/>
          <w:sz w:val="20"/>
          <w:szCs w:val="20"/>
        </w:rPr>
      </w:pPr>
    </w:p>
    <w:p w14:paraId="2F137A9C" w14:textId="77777777" w:rsidR="00776114" w:rsidRDefault="00776114" w:rsidP="00F262C1">
      <w:pPr>
        <w:spacing w:line="276" w:lineRule="auto"/>
        <w:jc w:val="right"/>
        <w:rPr>
          <w:rFonts w:asciiTheme="minorHAnsi" w:hAnsiTheme="minorHAnsi" w:cs="Segoe UI"/>
          <w:b/>
          <w:sz w:val="20"/>
          <w:szCs w:val="20"/>
        </w:rPr>
      </w:pPr>
    </w:p>
    <w:p w14:paraId="195372E3" w14:textId="77777777" w:rsidR="00F676EF" w:rsidRPr="00F262C1" w:rsidRDefault="0071025C" w:rsidP="00F262C1">
      <w:pPr>
        <w:spacing w:line="276" w:lineRule="auto"/>
        <w:jc w:val="right"/>
        <w:rPr>
          <w:rFonts w:asciiTheme="minorHAnsi" w:hAnsiTheme="minorHAnsi" w:cs="Segoe UI"/>
          <w:b/>
          <w:sz w:val="20"/>
          <w:szCs w:val="20"/>
        </w:rPr>
      </w:pPr>
      <w:r>
        <w:rPr>
          <w:rFonts w:asciiTheme="minorHAnsi" w:hAnsiTheme="minorHAnsi" w:cs="Segoe UI"/>
          <w:b/>
          <w:sz w:val="20"/>
          <w:szCs w:val="20"/>
        </w:rPr>
        <w:t>M</w:t>
      </w:r>
      <w:r w:rsidR="00F676EF" w:rsidRPr="00F262C1">
        <w:rPr>
          <w:rFonts w:asciiTheme="minorHAnsi" w:hAnsiTheme="minorHAnsi" w:cs="Segoe UI"/>
          <w:b/>
          <w:sz w:val="20"/>
          <w:szCs w:val="20"/>
        </w:rPr>
        <w:t>øte nr.</w:t>
      </w:r>
      <w:r w:rsidR="009F558C">
        <w:rPr>
          <w:rFonts w:asciiTheme="minorHAnsi" w:hAnsiTheme="minorHAnsi" w:cs="Segoe UI"/>
          <w:b/>
          <w:sz w:val="20"/>
          <w:szCs w:val="20"/>
        </w:rPr>
        <w:t xml:space="preserve"> </w:t>
      </w:r>
      <w:r w:rsidR="00213DCE">
        <w:rPr>
          <w:rFonts w:asciiTheme="minorHAnsi" w:hAnsiTheme="minorHAnsi" w:cs="Segoe UI"/>
          <w:b/>
          <w:sz w:val="20"/>
          <w:szCs w:val="20"/>
        </w:rPr>
        <w:t>3</w:t>
      </w:r>
      <w:r w:rsidR="00F676EF" w:rsidRPr="00F262C1">
        <w:rPr>
          <w:rFonts w:asciiTheme="minorHAnsi" w:hAnsiTheme="minorHAnsi" w:cs="Segoe UI"/>
          <w:b/>
          <w:sz w:val="20"/>
          <w:szCs w:val="20"/>
        </w:rPr>
        <w:t xml:space="preserve"> </w:t>
      </w:r>
      <w:r w:rsidR="00F262C1">
        <w:rPr>
          <w:rFonts w:asciiTheme="minorHAnsi" w:hAnsiTheme="minorHAnsi" w:cs="Segoe UI"/>
          <w:b/>
          <w:sz w:val="20"/>
          <w:szCs w:val="20"/>
        </w:rPr>
        <w:t xml:space="preserve"> </w:t>
      </w:r>
      <w:r w:rsidR="00F676EF" w:rsidRPr="00F262C1">
        <w:rPr>
          <w:rFonts w:asciiTheme="minorHAnsi" w:hAnsiTheme="minorHAnsi" w:cs="Segoe UI"/>
          <w:b/>
          <w:sz w:val="20"/>
          <w:szCs w:val="20"/>
        </w:rPr>
        <w:t>-</w:t>
      </w:r>
      <w:r w:rsidR="00F262C1">
        <w:rPr>
          <w:rFonts w:asciiTheme="minorHAnsi" w:hAnsiTheme="minorHAnsi" w:cs="Segoe UI"/>
          <w:b/>
          <w:sz w:val="20"/>
          <w:szCs w:val="20"/>
        </w:rPr>
        <w:t xml:space="preserve"> </w:t>
      </w:r>
      <w:r w:rsidR="00C542AC">
        <w:rPr>
          <w:rFonts w:asciiTheme="minorHAnsi" w:hAnsiTheme="minorHAnsi" w:cs="Segoe UI"/>
          <w:b/>
          <w:sz w:val="20"/>
          <w:szCs w:val="20"/>
        </w:rPr>
        <w:t xml:space="preserve"> 2020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8505"/>
      </w:tblGrid>
      <w:tr w:rsidR="00776114" w:rsidRPr="007777B7" w14:paraId="79D6201F" w14:textId="77777777" w:rsidTr="00776114">
        <w:trPr>
          <w:trHeight w:val="567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B3B7E" w14:textId="77777777" w:rsidR="00776114" w:rsidRPr="007777B7" w:rsidRDefault="00776114" w:rsidP="00776114">
            <w:pPr>
              <w:jc w:val="center"/>
              <w:rPr>
                <w:rFonts w:asciiTheme="minorHAnsi" w:hAnsiTheme="minorHAnsi" w:cs="Segoe U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="Segoe UI"/>
                <w:b/>
                <w:sz w:val="32"/>
                <w:szCs w:val="32"/>
              </w:rPr>
              <w:t>Referat</w:t>
            </w:r>
            <w:r w:rsidRPr="007777B7">
              <w:rPr>
                <w:rFonts w:asciiTheme="minorHAnsi" w:hAnsiTheme="minorHAnsi" w:cs="Segoe UI"/>
                <w:b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="Segoe UI"/>
                <w:b/>
                <w:sz w:val="32"/>
                <w:szCs w:val="32"/>
              </w:rPr>
              <w:t xml:space="preserve">- </w:t>
            </w:r>
            <w:r w:rsidRPr="007777B7">
              <w:rPr>
                <w:rFonts w:asciiTheme="minorHAnsi" w:hAnsiTheme="minorHAnsi" w:cs="Segoe UI"/>
                <w:b/>
                <w:sz w:val="32"/>
                <w:szCs w:val="32"/>
              </w:rPr>
              <w:t>Medisinsk Samhandlingsråd (MSR)</w:t>
            </w:r>
          </w:p>
        </w:tc>
      </w:tr>
      <w:tr w:rsidR="00776114" w:rsidRPr="00C0453E" w14:paraId="36579C06" w14:textId="77777777" w:rsidTr="00776114">
        <w:trPr>
          <w:trHeight w:val="4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B2CD1" w14:textId="77777777" w:rsidR="00776114" w:rsidRPr="00C0453E" w:rsidRDefault="00776114" w:rsidP="00827B52">
            <w:pPr>
              <w:spacing w:line="276" w:lineRule="auto"/>
              <w:rPr>
                <w:rFonts w:asciiTheme="minorHAnsi" w:hAnsiTheme="minorHAnsi" w:cs="Segoe UI"/>
                <w:sz w:val="22"/>
                <w:szCs w:val="22"/>
              </w:rPr>
            </w:pPr>
            <w:r w:rsidRPr="00C0453E">
              <w:rPr>
                <w:rFonts w:asciiTheme="minorHAnsi" w:hAnsiTheme="minorHAnsi" w:cs="Segoe UI"/>
                <w:sz w:val="22"/>
                <w:szCs w:val="22"/>
              </w:rPr>
              <w:t>Dato/tid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3029A" w14:textId="77777777" w:rsidR="00776114" w:rsidRPr="00C0453E" w:rsidRDefault="00C41F68" w:rsidP="00C41F68">
            <w:pPr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14</w:t>
            </w:r>
            <w:r w:rsidR="00213DCE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.10</w:t>
            </w:r>
            <w:r w:rsidR="00776114" w:rsidRPr="00C0453E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.2020 kl. 1</w:t>
            </w:r>
            <w:r w:rsidR="00473D03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6</w:t>
            </w:r>
            <w:r w:rsidR="00776114" w:rsidRPr="00C0453E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:</w:t>
            </w:r>
            <w:r w:rsidR="00473D03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0</w:t>
            </w:r>
            <w:r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0</w:t>
            </w:r>
            <w:r w:rsidR="00776114" w:rsidRPr="00C0453E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 xml:space="preserve"> til kl. 1</w:t>
            </w:r>
            <w:r w:rsidR="00473D03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8</w:t>
            </w:r>
            <w:r w:rsidR="00776114" w:rsidRPr="00C0453E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:</w:t>
            </w:r>
            <w:r w:rsidR="00473D03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776114" w:rsidRPr="00C0453E" w14:paraId="11D65AB2" w14:textId="77777777" w:rsidTr="00776114">
        <w:trPr>
          <w:trHeight w:val="4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94FFF" w14:textId="77777777" w:rsidR="00776114" w:rsidRPr="00C0453E" w:rsidRDefault="00776114" w:rsidP="00827B52">
            <w:pPr>
              <w:spacing w:line="276" w:lineRule="auto"/>
              <w:rPr>
                <w:rFonts w:asciiTheme="minorHAnsi" w:hAnsiTheme="minorHAnsi" w:cs="Segoe UI"/>
                <w:sz w:val="22"/>
                <w:szCs w:val="22"/>
              </w:rPr>
            </w:pPr>
            <w:r w:rsidRPr="00C0453E">
              <w:rPr>
                <w:rFonts w:asciiTheme="minorHAnsi" w:hAnsiTheme="minorHAnsi" w:cs="Segoe UI"/>
                <w:sz w:val="22"/>
                <w:szCs w:val="22"/>
              </w:rPr>
              <w:t>Sted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EBDDB" w14:textId="77777777" w:rsidR="00776114" w:rsidRPr="00C0453E" w:rsidRDefault="00776114" w:rsidP="00827B52">
            <w:pPr>
              <w:spacing w:line="276" w:lineRule="auto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Skype-møte</w:t>
            </w:r>
          </w:p>
        </w:tc>
      </w:tr>
    </w:tbl>
    <w:tbl>
      <w:tblPr>
        <w:tblpPr w:leftFromText="141" w:rightFromText="141" w:bottomFromText="200" w:vertAnchor="text" w:horzAnchor="margin" w:tblpY="20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8505"/>
      </w:tblGrid>
      <w:tr w:rsidR="00776114" w:rsidRPr="00C0453E" w14:paraId="0E68E2A1" w14:textId="77777777" w:rsidTr="00776114">
        <w:trPr>
          <w:trHeight w:val="41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6213DC" w14:textId="77777777" w:rsidR="00776114" w:rsidRPr="00C0453E" w:rsidRDefault="00776114" w:rsidP="00827B5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Leder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A0DDC7" w14:textId="77777777" w:rsidR="00776114" w:rsidRPr="00C0453E" w:rsidRDefault="00776114" w:rsidP="00827B52">
            <w:pPr>
              <w:spacing w:line="276" w:lineRule="auto"/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  <w:t>Kjetil Juva</w:t>
            </w:r>
          </w:p>
        </w:tc>
      </w:tr>
      <w:tr w:rsidR="00776114" w:rsidRPr="00C0453E" w14:paraId="1221332F" w14:textId="77777777" w:rsidTr="00776114">
        <w:trPr>
          <w:trHeight w:val="4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AEAF7" w14:textId="77777777" w:rsidR="00776114" w:rsidRPr="00C0453E" w:rsidRDefault="00776114" w:rsidP="00827B5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Sekretær/r</w:t>
            </w:r>
            <w:r w:rsidRPr="00C0453E">
              <w:rPr>
                <w:rFonts w:asciiTheme="minorHAnsi" w:hAnsiTheme="minorHAnsi" w:cs="Arial"/>
                <w:sz w:val="22"/>
                <w:szCs w:val="22"/>
                <w:lang w:eastAsia="en-US"/>
              </w:rPr>
              <w:t>eferent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4F393" w14:textId="77777777" w:rsidR="00776114" w:rsidRPr="00C0453E" w:rsidRDefault="00473D03" w:rsidP="00827B52">
            <w:pPr>
              <w:spacing w:line="276" w:lineRule="auto"/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  <w:t>Lisbeth Bergstøl</w:t>
            </w:r>
          </w:p>
        </w:tc>
      </w:tr>
      <w:tr w:rsidR="00776114" w:rsidRPr="00C0453E" w14:paraId="4C0C9769" w14:textId="77777777" w:rsidTr="00776114">
        <w:trPr>
          <w:trHeight w:val="255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B55151" w14:textId="77777777" w:rsidR="00776114" w:rsidRPr="00C0453E" w:rsidRDefault="00776114" w:rsidP="00827B5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C0453E">
              <w:rPr>
                <w:rFonts w:asciiTheme="minorHAnsi" w:hAnsiTheme="minorHAnsi" w:cs="Arial"/>
                <w:sz w:val="22"/>
                <w:szCs w:val="22"/>
                <w:lang w:eastAsia="en-US"/>
              </w:rPr>
              <w:t>Faste medlemmer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FD4F98" w14:textId="77777777" w:rsidR="00776114" w:rsidRDefault="00776114" w:rsidP="00827B52">
            <w:pPr>
              <w:spacing w:line="276" w:lineRule="auto"/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For fastlegene</w:t>
            </w:r>
            <w:r w:rsidRPr="00C0453E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: </w:t>
            </w:r>
            <w:r w:rsidRPr="00E64C1F"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0CE3326B" w14:textId="77777777" w:rsidR="00776114" w:rsidRDefault="00776114" w:rsidP="00827B52">
            <w:pPr>
              <w:spacing w:line="276" w:lineRule="auto"/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</w:pPr>
            <w:r w:rsidRPr="00E64C1F"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 xml:space="preserve">Mats A. Tønnessen </w:t>
            </w:r>
            <w:r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>(</w:t>
            </w:r>
            <w:r w:rsidRPr="00E64C1F"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>Lister</w:t>
            </w:r>
            <w:r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 xml:space="preserve">regionen), Jørn Otto Ahlquist (Region Østre Agder), </w:t>
            </w:r>
            <w:r w:rsidRPr="007777B7"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>Hallvard Mosdøl (Setesdal</w:t>
            </w:r>
            <w:r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 xml:space="preserve">sregionen), </w:t>
            </w:r>
            <w:r w:rsidRPr="007777B7"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>Anders Kind (Region Kristiansand</w:t>
            </w:r>
            <w:r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>), Vilde Havnelid (Region Kristiansand)</w:t>
            </w:r>
          </w:p>
          <w:p w14:paraId="0311EF31" w14:textId="77777777" w:rsidR="00776114" w:rsidRDefault="00776114" w:rsidP="00827B52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For sykehuslegene</w:t>
            </w:r>
            <w:r w:rsidRPr="00C0453E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: </w:t>
            </w:r>
          </w:p>
          <w:p w14:paraId="6211E6BE" w14:textId="77777777" w:rsidR="00776114" w:rsidRDefault="00776114" w:rsidP="00827B52">
            <w:pPr>
              <w:spacing w:line="276" w:lineRule="auto"/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</w:pPr>
            <w:r w:rsidRPr="00CC2AED"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 xml:space="preserve">Erik Mulder Pettersen </w:t>
            </w:r>
            <w:r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>(</w:t>
            </w:r>
            <w:r w:rsidRPr="00CC2AED"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>SSK</w:t>
            </w:r>
            <w:r w:rsidR="00C41F68"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>), Benedic</w:t>
            </w:r>
            <w:r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>te Severinsen (SSK), Terje Thesen (KPH), Hjalmar Ødegaard (SSF), Geir Rørbakken (SSA)</w:t>
            </w:r>
          </w:p>
          <w:p w14:paraId="63CDECDA" w14:textId="77777777" w:rsidR="00776114" w:rsidRDefault="00776114" w:rsidP="00827B52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For </w:t>
            </w:r>
            <w:r w:rsidRPr="00C0453E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Bruker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utvalget</w:t>
            </w:r>
            <w:r w:rsidRPr="00C0453E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: </w:t>
            </w:r>
          </w:p>
          <w:p w14:paraId="6E045244" w14:textId="77777777" w:rsidR="00776114" w:rsidRDefault="00776114" w:rsidP="00827B52">
            <w:pPr>
              <w:spacing w:line="276" w:lineRule="auto"/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 xml:space="preserve">Grete Bygland, </w:t>
            </w:r>
            <w:r w:rsidR="00473D03"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>Tove Kristiansen</w:t>
            </w:r>
          </w:p>
          <w:p w14:paraId="36D4EA33" w14:textId="77777777" w:rsidR="00776114" w:rsidRDefault="00776114" w:rsidP="00827B52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For </w:t>
            </w:r>
            <w:r w:rsidR="003E16EA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praksiskonsulentene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:</w:t>
            </w:r>
            <w:r w:rsidRPr="00C0453E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14:paraId="212964CC" w14:textId="77777777" w:rsidR="00776114" w:rsidRPr="007777B7" w:rsidRDefault="00776114" w:rsidP="00827B5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7777B7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Anton Rodahl 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(</w:t>
            </w:r>
            <w:r w:rsidRPr="007777B7">
              <w:rPr>
                <w:rFonts w:asciiTheme="minorHAnsi" w:hAnsiTheme="minorHAnsi" w:cs="Arial"/>
                <w:sz w:val="22"/>
                <w:szCs w:val="22"/>
                <w:lang w:eastAsia="en-US"/>
              </w:rPr>
              <w:t>Leder PKO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)</w:t>
            </w:r>
          </w:p>
        </w:tc>
      </w:tr>
      <w:tr w:rsidR="00776114" w:rsidRPr="00C0453E" w14:paraId="696655A6" w14:textId="77777777" w:rsidTr="00776114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1984EB" w14:textId="77777777" w:rsidR="00776114" w:rsidRPr="00C0453E" w:rsidRDefault="00776114" w:rsidP="00827B5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C0453E">
              <w:rPr>
                <w:rFonts w:asciiTheme="minorHAnsi" w:hAnsiTheme="minorHAnsi" w:cs="Arial"/>
                <w:sz w:val="22"/>
                <w:szCs w:val="22"/>
                <w:lang w:eastAsia="en-US"/>
              </w:rPr>
              <w:t>Inviterte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0CE2D1" w14:textId="77777777" w:rsidR="00776114" w:rsidRPr="00C0453E" w:rsidRDefault="00473D03" w:rsidP="00827B52">
            <w:pPr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  <w:t>Kommuneoverlege Preben Aavitsland, Arendal kommune og smittevernoverlege Trine Nordstrøm, SSHF (sak 11-2020)</w:t>
            </w:r>
          </w:p>
        </w:tc>
      </w:tr>
      <w:tr w:rsidR="00776114" w:rsidRPr="00C0453E" w14:paraId="376C236A" w14:textId="77777777" w:rsidTr="00776114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F0A676" w14:textId="77777777" w:rsidR="00776114" w:rsidRPr="00C0453E" w:rsidRDefault="00776114" w:rsidP="00827B5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Forfall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EB896" w14:textId="77777777" w:rsidR="00776114" w:rsidRPr="00776114" w:rsidRDefault="00473D03" w:rsidP="00473D03">
            <w:pPr>
              <w:spacing w:line="276" w:lineRule="auto"/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 xml:space="preserve">Erik Mulder Pettersen, Mats Tønnesen, </w:t>
            </w:r>
            <w:r w:rsidR="00776114" w:rsidRPr="00776114"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>Anders Kind</w:t>
            </w:r>
            <w:r w:rsidR="00776114"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>, Vilde Havnelid</w:t>
            </w:r>
          </w:p>
        </w:tc>
      </w:tr>
    </w:tbl>
    <w:p w14:paraId="4A9779F1" w14:textId="77777777" w:rsidR="00C74479" w:rsidRDefault="00C74479" w:rsidP="00F676EF">
      <w:pPr>
        <w:rPr>
          <w:rFonts w:asciiTheme="minorHAnsi" w:hAnsiTheme="minorHAnsi" w:cs="Segoe UI"/>
          <w:sz w:val="22"/>
          <w:szCs w:val="22"/>
        </w:rPr>
      </w:pPr>
    </w:p>
    <w:p w14:paraId="302DE3A0" w14:textId="77777777" w:rsidR="00931058" w:rsidRPr="00726566" w:rsidRDefault="00931058" w:rsidP="00F676EF">
      <w:pPr>
        <w:rPr>
          <w:rFonts w:asciiTheme="minorHAnsi" w:hAnsiTheme="minorHAnsi" w:cs="Segoe UI"/>
          <w:sz w:val="22"/>
          <w:szCs w:val="22"/>
        </w:rPr>
      </w:pPr>
    </w:p>
    <w:tbl>
      <w:tblPr>
        <w:tblStyle w:val="Tabellrutenett"/>
        <w:tblW w:w="10490" w:type="dxa"/>
        <w:tblInd w:w="-5" w:type="dxa"/>
        <w:tblLayout w:type="fixed"/>
        <w:tblLook w:val="04E0" w:firstRow="1" w:lastRow="1" w:firstColumn="1" w:lastColumn="0" w:noHBand="0" w:noVBand="1"/>
      </w:tblPr>
      <w:tblGrid>
        <w:gridCol w:w="1106"/>
        <w:gridCol w:w="7399"/>
        <w:gridCol w:w="1985"/>
      </w:tblGrid>
      <w:tr w:rsidR="00A37A81" w:rsidRPr="00A76967" w14:paraId="06EC1A3F" w14:textId="77777777" w:rsidTr="00C542AC">
        <w:trPr>
          <w:trHeight w:val="39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823921" w14:textId="77777777" w:rsidR="00A37A81" w:rsidRPr="00A76967" w:rsidRDefault="00A37A81" w:rsidP="00A37A81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 xml:space="preserve">Saksnr. 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D6962E" w14:textId="77777777" w:rsidR="00A37A81" w:rsidRPr="00A76967" w:rsidRDefault="00D836D8" w:rsidP="00A37A81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Sak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4C51D5" w14:textId="77777777" w:rsidR="00A37A81" w:rsidRDefault="00D836D8" w:rsidP="00D836D8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Oppfølgingsansvar</w:t>
            </w:r>
          </w:p>
        </w:tc>
      </w:tr>
      <w:tr w:rsidR="00A37A81" w:rsidRPr="00A76967" w14:paraId="403FC9D7" w14:textId="77777777" w:rsidTr="00D836D8">
        <w:trPr>
          <w:trHeight w:val="4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8967" w14:textId="77777777" w:rsidR="00A37A81" w:rsidRPr="00983E53" w:rsidRDefault="00473D03" w:rsidP="00A37A81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10</w:t>
            </w:r>
            <w:r w:rsidR="00C542AC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/2020</w:t>
            </w:r>
          </w:p>
          <w:p w14:paraId="5E1EF5D4" w14:textId="77777777" w:rsidR="00A37A81" w:rsidRPr="00A76967" w:rsidRDefault="00A37A81" w:rsidP="00A37A81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B5CF" w14:textId="77777777" w:rsidR="00F240DE" w:rsidRDefault="00A37A81" w:rsidP="00A37A81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 w:rsidRPr="00A76967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Godkjenning av</w:t>
            </w:r>
            <w:r w:rsidR="00F240DE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 xml:space="preserve"> referat fra </w:t>
            </w:r>
            <w:r w:rsidR="00473D03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14</w:t>
            </w:r>
            <w:r w:rsidR="00F240DE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.0</w:t>
            </w:r>
            <w:r w:rsidR="00473D03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5</w:t>
            </w:r>
            <w:r w:rsidR="00F240DE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.2020</w:t>
            </w:r>
          </w:p>
          <w:p w14:paraId="2950A057" w14:textId="77777777" w:rsidR="00A37A81" w:rsidRDefault="00F240DE" w:rsidP="00A37A81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 xml:space="preserve">Godkjenning av </w:t>
            </w:r>
            <w:r w:rsidR="00A37A81" w:rsidRPr="00A76967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saksliste</w:t>
            </w: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 xml:space="preserve"> 14.</w:t>
            </w:r>
            <w:r w:rsidR="00473D03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10</w:t>
            </w: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.2020</w:t>
            </w:r>
          </w:p>
          <w:p w14:paraId="1523F0CA" w14:textId="77777777" w:rsidR="00F240DE" w:rsidRDefault="00F240DE" w:rsidP="00A37A81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  <w:p w14:paraId="1ED93E4A" w14:textId="77777777" w:rsidR="00F240DE" w:rsidRPr="00F240DE" w:rsidRDefault="00F240DE" w:rsidP="00A37A81">
            <w:pPr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</w:pPr>
            <w:r w:rsidRPr="00F240DE"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  <w:t>Konklusjon:</w:t>
            </w:r>
          </w:p>
          <w:p w14:paraId="0F376C9C" w14:textId="77777777" w:rsidR="00A37A81" w:rsidRPr="00026C4D" w:rsidRDefault="00A37A81" w:rsidP="00797A31">
            <w:pPr>
              <w:pStyle w:val="Listeavsnitt"/>
              <w:numPr>
                <w:ilvl w:val="0"/>
                <w:numId w:val="3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026C4D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Godkjent</w:t>
            </w:r>
          </w:p>
          <w:p w14:paraId="5C4E5A56" w14:textId="77777777" w:rsidR="00225503" w:rsidRPr="00924C29" w:rsidRDefault="00225503" w:rsidP="00C542AC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81E3" w14:textId="77777777" w:rsidR="00225503" w:rsidRPr="00924C29" w:rsidRDefault="00225503" w:rsidP="00A37A81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</w:tc>
      </w:tr>
      <w:tr w:rsidR="00924C29" w:rsidRPr="00A76967" w14:paraId="44D5CD0E" w14:textId="77777777" w:rsidTr="00D836D8">
        <w:trPr>
          <w:trHeight w:val="4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17EB" w14:textId="77777777" w:rsidR="00924C29" w:rsidRPr="00A76967" w:rsidRDefault="00473D03" w:rsidP="00A37A81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11</w:t>
            </w:r>
            <w:r w:rsidR="00C542AC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/2020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71E8" w14:textId="77777777" w:rsidR="00A62315" w:rsidRPr="00A62315" w:rsidRDefault="00473D03" w:rsidP="0010508E">
            <w:pPr>
              <w:spacing w:after="120"/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 w:rsidRPr="00473D03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C-19 testing av pasienter som utskrives til kommunal institusjon (bestillingssak fra OSS)</w:t>
            </w:r>
          </w:p>
          <w:p w14:paraId="6ADF9B75" w14:textId="77777777" w:rsidR="006168B3" w:rsidRPr="00676116" w:rsidRDefault="00676116" w:rsidP="0010508E">
            <w:pPr>
              <w:pStyle w:val="BrdtekstT"/>
              <w:spacing w:after="120"/>
              <w:rPr>
                <w:rFonts w:asciiTheme="minorHAnsi" w:hAnsiTheme="minorHAnsi" w:cs="Segoe U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auto"/>
                <w:sz w:val="22"/>
                <w:szCs w:val="22"/>
              </w:rPr>
              <w:t>Bakgrunn for saken er melding til om at en</w:t>
            </w:r>
            <w:r w:rsidR="0022405E" w:rsidRPr="00676116"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/flere </w:t>
            </w:r>
            <w:r>
              <w:rPr>
                <w:rFonts w:asciiTheme="minorHAnsi" w:hAnsiTheme="minorHAnsi" w:cs="Segoe UI"/>
                <w:color w:val="auto"/>
                <w:sz w:val="22"/>
                <w:szCs w:val="22"/>
              </w:rPr>
              <w:t>kommuner</w:t>
            </w:r>
            <w:r w:rsidR="0022405E" w:rsidRPr="00676116"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 </w:t>
            </w:r>
            <w:r w:rsidR="00065917">
              <w:rPr>
                <w:rFonts w:asciiTheme="minorHAnsi" w:hAnsiTheme="minorHAnsi" w:cs="Segoe UI"/>
                <w:color w:val="auto"/>
                <w:sz w:val="22"/>
                <w:szCs w:val="22"/>
              </w:rPr>
              <w:t>krevde</w:t>
            </w:r>
            <w:r w:rsidR="0022405E" w:rsidRPr="00676116"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Covid-19 </w:t>
            </w:r>
            <w:r w:rsidR="0022405E" w:rsidRPr="00676116"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test av </w:t>
            </w:r>
            <w:r>
              <w:rPr>
                <w:rFonts w:asciiTheme="minorHAnsi" w:hAnsiTheme="minorHAnsi" w:cs="Segoe UI"/>
                <w:color w:val="auto"/>
                <w:sz w:val="22"/>
                <w:szCs w:val="22"/>
              </w:rPr>
              <w:t>alle pasienter som sk</w:t>
            </w:r>
            <w:r w:rsidR="00065917">
              <w:rPr>
                <w:rFonts w:asciiTheme="minorHAnsi" w:hAnsiTheme="minorHAnsi" w:cs="Segoe UI"/>
                <w:color w:val="auto"/>
                <w:sz w:val="22"/>
                <w:szCs w:val="22"/>
              </w:rPr>
              <w:t>ulle</w:t>
            </w:r>
            <w:r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 utskrives til kommunal institusjon.</w:t>
            </w:r>
            <w:r w:rsidR="00065917"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 Problemstillingen var ikke meldt gjennom samhandlingskanalene på forhånd. På initiativ fra SSHF ble kommuneoverlegene på Agder forelagt problemstillingen, men det kom få tilbakemeldinger og disse var omtrent 50:50 delt i sitt syn på om </w:t>
            </w:r>
            <w:r w:rsidR="00065917" w:rsidRPr="00065917">
              <w:rPr>
                <w:rFonts w:asciiTheme="minorHAnsi" w:hAnsiTheme="minorHAnsi" w:cs="Segoe UI"/>
                <w:color w:val="auto"/>
                <w:sz w:val="22"/>
                <w:szCs w:val="22"/>
                <w:u w:val="single"/>
              </w:rPr>
              <w:t>alle</w:t>
            </w:r>
            <w:r w:rsidR="00065917"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 utskrivningsklare pasienter til kommunal institusjon burde testes. Saken ble drøftet i Overordnet strategisk samarbeidsorgan 21.08.2020 og besluttet oversendt til MSR for vurdering.</w:t>
            </w:r>
          </w:p>
          <w:p w14:paraId="1F5BD0F7" w14:textId="77777777" w:rsidR="00F662B3" w:rsidRDefault="00065917" w:rsidP="0010508E">
            <w:pPr>
              <w:pStyle w:val="BrdtekstT"/>
              <w:spacing w:after="120"/>
              <w:rPr>
                <w:rFonts w:asciiTheme="minorHAnsi" w:hAnsiTheme="minorHAnsi" w:cs="Segoe U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Gjeldende praksis er at </w:t>
            </w:r>
            <w:r w:rsidR="00676116">
              <w:rPr>
                <w:rFonts w:asciiTheme="minorHAnsi" w:hAnsiTheme="minorHAnsi" w:cs="Segoe UI"/>
                <w:color w:val="auto"/>
                <w:sz w:val="22"/>
                <w:szCs w:val="22"/>
              </w:rPr>
              <w:t>SSHF test</w:t>
            </w:r>
            <w:r>
              <w:rPr>
                <w:rFonts w:asciiTheme="minorHAnsi" w:hAnsiTheme="minorHAnsi" w:cs="Segoe UI"/>
                <w:color w:val="auto"/>
                <w:sz w:val="22"/>
                <w:szCs w:val="22"/>
              </w:rPr>
              <w:t>er</w:t>
            </w:r>
            <w:r w:rsidR="00676116"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 på indikasjon</w:t>
            </w:r>
            <w:r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, som f.eks. symptomer som gir mistanke om Covid-19 smitte. I tillegg stilles alle </w:t>
            </w:r>
            <w:r w:rsidR="00676116"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asymptomatiske pasienter kontrollspørsmål for å avklare </w:t>
            </w:r>
            <w:r>
              <w:rPr>
                <w:rFonts w:asciiTheme="minorHAnsi" w:hAnsiTheme="minorHAnsi" w:cs="Segoe UI"/>
                <w:color w:val="auto"/>
                <w:sz w:val="22"/>
                <w:szCs w:val="22"/>
              </w:rPr>
              <w:t>om det er risiko for at de kan være smittet.</w:t>
            </w:r>
            <w:r w:rsidR="00F662B3"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 </w:t>
            </w:r>
            <w:r w:rsidR="00F662B3">
              <w:rPr>
                <w:rFonts w:asciiTheme="minorHAnsi" w:hAnsiTheme="minorHAnsi" w:cs="Segoe UI"/>
                <w:color w:val="auto"/>
                <w:sz w:val="22"/>
                <w:szCs w:val="22"/>
              </w:rPr>
              <w:lastRenderedPageBreak/>
              <w:t>Fremkommer slik risiko (indikasjon), så testes pasienten. Ved lokale utbrudd i regionen tilpasses testregimet pasienter fra denne regionen ettersom dette i seg selv utgjør en indikasjon.</w:t>
            </w:r>
          </w:p>
          <w:p w14:paraId="206C5824" w14:textId="77777777" w:rsidR="006168B3" w:rsidRDefault="00F662B3" w:rsidP="0010508E">
            <w:pPr>
              <w:pStyle w:val="BrdtekstT"/>
              <w:spacing w:after="120"/>
              <w:rPr>
                <w:rFonts w:asciiTheme="minorHAnsi" w:hAnsiTheme="minorHAnsi" w:cs="Segoe U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Nasjonale retningslinjer anbefaler ikke rutinemessig </w:t>
            </w:r>
            <w:r w:rsidR="00676116"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testing av pasienter </w:t>
            </w:r>
            <w:r>
              <w:rPr>
                <w:rFonts w:asciiTheme="minorHAnsi" w:hAnsiTheme="minorHAnsi" w:cs="Segoe UI"/>
                <w:color w:val="auto"/>
                <w:sz w:val="22"/>
                <w:szCs w:val="22"/>
              </w:rPr>
              <w:t>uten indikasjon (også ved innleggelse til sykehjem)</w:t>
            </w:r>
            <w:r w:rsidR="00676116">
              <w:rPr>
                <w:rFonts w:asciiTheme="minorHAnsi" w:hAnsiTheme="minorHAnsi" w:cs="Segoe UI"/>
                <w:color w:val="auto"/>
                <w:sz w:val="22"/>
                <w:szCs w:val="22"/>
              </w:rPr>
              <w:t>.</w:t>
            </w:r>
            <w:r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 SSHF følger denne anbefalingen.</w:t>
            </w:r>
          </w:p>
          <w:p w14:paraId="777E30B2" w14:textId="77777777" w:rsidR="00F662B3" w:rsidRDefault="00F662B3" w:rsidP="0010508E">
            <w:pPr>
              <w:pStyle w:val="BrdtekstT"/>
              <w:spacing w:after="120"/>
              <w:rPr>
                <w:rFonts w:asciiTheme="minorHAnsi" w:hAnsiTheme="minorHAnsi" w:cs="Segoe U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Når en pasient blir testet for Covid-19 innebærer dette automatisk karantene inntil svaret foreligger. For standardtestene dreier dette seg om 1-1,5 døgn. I denne perioden må pasienten isoleres. SSHF har </w:t>
            </w:r>
            <w:r w:rsidR="00BE5704"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svært </w:t>
            </w:r>
            <w:r>
              <w:rPr>
                <w:rFonts w:asciiTheme="minorHAnsi" w:hAnsiTheme="minorHAnsi" w:cs="Segoe UI"/>
                <w:color w:val="auto"/>
                <w:sz w:val="22"/>
                <w:szCs w:val="22"/>
              </w:rPr>
              <w:t>få enerom og disse utgjør en sentral del av beredskapen for håndtering av pasienter med påvist Covid-19. Det vil være praktisk umulig for SSHF sin drift og pasientsikkerhet å skulle isolere pasienter som er testet uten indikasjon.</w:t>
            </w:r>
            <w:r w:rsidR="00BE5704"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 </w:t>
            </w:r>
            <w:r w:rsidR="00B66912"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Evnen til å isolere pasienten er betydelig større i kommunale institusjoner. </w:t>
            </w:r>
            <w:r w:rsidR="00BE5704"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Dersom man </w:t>
            </w:r>
            <w:r w:rsidR="00B66912"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skulle velge </w:t>
            </w:r>
            <w:r w:rsidR="00BE5704"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ikke </w:t>
            </w:r>
            <w:r w:rsidR="00B66912"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å </w:t>
            </w:r>
            <w:r w:rsidR="00BE5704">
              <w:rPr>
                <w:rFonts w:asciiTheme="minorHAnsi" w:hAnsiTheme="minorHAnsi" w:cs="Segoe UI"/>
                <w:color w:val="auto"/>
                <w:sz w:val="22"/>
                <w:szCs w:val="22"/>
              </w:rPr>
              <w:t>isolere pasienten</w:t>
            </w:r>
            <w:r w:rsidR="00B66912">
              <w:rPr>
                <w:rFonts w:asciiTheme="minorHAnsi" w:hAnsiTheme="minorHAnsi" w:cs="Segoe UI"/>
                <w:color w:val="auto"/>
                <w:sz w:val="22"/>
                <w:szCs w:val="22"/>
              </w:rPr>
              <w:t>e</w:t>
            </w:r>
            <w:r w:rsidR="00BE5704"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, vil helsepersonell stå i fare for å bli satt i karantene, noe helsetjenestene ikke har råd til å utsette seg selv for i disse dager. </w:t>
            </w:r>
          </w:p>
          <w:p w14:paraId="3F1F11C7" w14:textId="77777777" w:rsidR="00BE5704" w:rsidRDefault="00F662B3" w:rsidP="0010508E">
            <w:pPr>
              <w:pStyle w:val="BrdtekstT"/>
              <w:spacing w:after="120"/>
              <w:rPr>
                <w:rFonts w:asciiTheme="minorHAnsi" w:hAnsiTheme="minorHAnsi" w:cs="Segoe U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auto"/>
                <w:sz w:val="22"/>
                <w:szCs w:val="22"/>
              </w:rPr>
              <w:t>Det eksisterer per i dag hurtigtester i begrenset antall – for SSHF sin del kun nok til å håndtere mottak av nye, og inneliggende pasienter</w:t>
            </w:r>
            <w:r w:rsidR="00BE5704"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 med indikasjon for testing. Det er annonsert at et stort antall hurtigtester skal gjøres tilgjengelig for både kommuner og sykehus i nær fremtid, noe som vil forenkle karanteneproblematikken (testresultatet tilgjengelig ila. 30 minutter). Dette vurderes å løse problemstillingen, ettersom mottakerinstitusjonene også vil kunne teste utskrevne pasienter selv.</w:t>
            </w:r>
          </w:p>
          <w:p w14:paraId="25F9D58A" w14:textId="77777777" w:rsidR="009B4252" w:rsidRDefault="00BE5704" w:rsidP="0010508E">
            <w:pPr>
              <w:pStyle w:val="BrdtekstT"/>
              <w:spacing w:after="120"/>
              <w:rPr>
                <w:rFonts w:asciiTheme="minorHAnsi" w:hAnsiTheme="minorHAnsi" w:cs="Segoe U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Selv om hurtigtestene er ansett </w:t>
            </w:r>
            <w:r w:rsidR="009B4252"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som ganske </w:t>
            </w:r>
            <w:r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gode, er </w:t>
            </w:r>
            <w:r w:rsidR="009B4252"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det </w:t>
            </w:r>
            <w:r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utfordringer knyttet til pretest sannsynlighet </w:t>
            </w:r>
            <w:r w:rsidR="009B4252">
              <w:rPr>
                <w:rFonts w:asciiTheme="minorHAnsi" w:hAnsiTheme="minorHAnsi" w:cs="Segoe UI"/>
                <w:color w:val="auto"/>
                <w:sz w:val="22"/>
                <w:szCs w:val="22"/>
              </w:rPr>
              <w:t>som beskrevet nedenfor. Det er sentralt at tjenestene er bevisst denne utfordringer ettersom en positiv test medfører stor belastning for pasienter, pårørende</w:t>
            </w:r>
            <w:r w:rsidR="00292196">
              <w:rPr>
                <w:rFonts w:asciiTheme="minorHAnsi" w:hAnsiTheme="minorHAnsi" w:cs="Segoe UI"/>
                <w:color w:val="auto"/>
                <w:sz w:val="22"/>
                <w:szCs w:val="22"/>
              </w:rPr>
              <w:t>,</w:t>
            </w:r>
            <w:r w:rsidR="009B4252"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 nærkontakter</w:t>
            </w:r>
            <w:r w:rsidR="00292196">
              <w:rPr>
                <w:rFonts w:asciiTheme="minorHAnsi" w:hAnsiTheme="minorHAnsi" w:cs="Segoe UI"/>
                <w:color w:val="auto"/>
                <w:sz w:val="22"/>
                <w:szCs w:val="22"/>
              </w:rPr>
              <w:t>, helsepersonell og smittesporingspersonell</w:t>
            </w:r>
            <w:r w:rsidR="009B4252">
              <w:rPr>
                <w:rFonts w:asciiTheme="minorHAnsi" w:hAnsiTheme="minorHAnsi" w:cs="Segoe UI"/>
                <w:color w:val="auto"/>
                <w:sz w:val="22"/>
                <w:szCs w:val="22"/>
              </w:rPr>
              <w:t>.</w:t>
            </w:r>
          </w:p>
          <w:p w14:paraId="7C81C53A" w14:textId="77777777" w:rsidR="00A45596" w:rsidRPr="00A45596" w:rsidRDefault="00A45596" w:rsidP="00A45596">
            <w:pPr>
              <w:pStyle w:val="BrdtekstT"/>
              <w:spacing w:after="0"/>
              <w:rPr>
                <w:rFonts w:asciiTheme="minorHAnsi" w:hAnsiTheme="minorHAnsi" w:cs="Segoe UI"/>
                <w:color w:val="auto"/>
                <w:sz w:val="22"/>
                <w:szCs w:val="22"/>
                <w:u w:val="single"/>
              </w:rPr>
            </w:pPr>
            <w:r w:rsidRPr="00A45596">
              <w:rPr>
                <w:rFonts w:asciiTheme="minorHAnsi" w:hAnsiTheme="minorHAnsi" w:cs="Segoe UI"/>
                <w:color w:val="auto"/>
                <w:sz w:val="22"/>
                <w:szCs w:val="22"/>
                <w:u w:val="single"/>
              </w:rPr>
              <w:t>Pretest sannsynlighet:</w:t>
            </w:r>
          </w:p>
          <w:p w14:paraId="197847D2" w14:textId="77777777" w:rsidR="00F662B3" w:rsidRPr="00676116" w:rsidRDefault="009B4252" w:rsidP="00A45596">
            <w:pPr>
              <w:pStyle w:val="BrdtekstT"/>
              <w:spacing w:after="120"/>
              <w:rPr>
                <w:rFonts w:asciiTheme="minorHAnsi" w:hAnsiTheme="minorHAnsi" w:cs="Segoe U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Når </w:t>
            </w:r>
            <w:r w:rsidRPr="009B4252"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antall tilfeller </w:t>
            </w:r>
            <w:r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av sykdommen </w:t>
            </w:r>
            <w:r w:rsidRPr="009B4252">
              <w:rPr>
                <w:rFonts w:asciiTheme="minorHAnsi" w:hAnsiTheme="minorHAnsi" w:cs="Segoe UI"/>
                <w:color w:val="auto"/>
                <w:sz w:val="22"/>
                <w:szCs w:val="22"/>
              </w:rPr>
              <w:t>i befolkningen er lav, vil de fleste positiv</w:t>
            </w:r>
            <w:r>
              <w:rPr>
                <w:rFonts w:asciiTheme="minorHAnsi" w:hAnsiTheme="minorHAnsi" w:cs="Segoe UI"/>
                <w:color w:val="auto"/>
                <w:sz w:val="22"/>
                <w:szCs w:val="22"/>
              </w:rPr>
              <w:t>e testresultatene</w:t>
            </w:r>
            <w:r w:rsidRPr="009B4252"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 nødvendigvis være falsk positive. Om testen er 95% sensitiv og spesifikk (evner å plukke opp 95% av tilfellene som </w:t>
            </w:r>
            <w:r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faktisk </w:t>
            </w:r>
            <w:r w:rsidRPr="009B4252"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er smittet, og 95% av tilfellene som er friske), og 1 prosent av befolkningen </w:t>
            </w:r>
            <w:r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har sykdommen, </w:t>
            </w:r>
            <w:r w:rsidRPr="009B4252">
              <w:rPr>
                <w:rFonts w:asciiTheme="minorHAnsi" w:hAnsiTheme="minorHAnsi" w:cs="Segoe UI"/>
                <w:color w:val="auto"/>
                <w:sz w:val="22"/>
                <w:szCs w:val="22"/>
              </w:rPr>
              <w:t>så vil 5 av 6 som tester positivt egentlig være friske.</w:t>
            </w:r>
            <w:r w:rsidR="00F662B3">
              <w:rPr>
                <w:rFonts w:asciiTheme="minorHAnsi" w:hAnsiTheme="minorHAnsi" w:cs="Segoe UI"/>
                <w:color w:val="auto"/>
                <w:sz w:val="22"/>
                <w:szCs w:val="22"/>
              </w:rPr>
              <w:t xml:space="preserve"> </w:t>
            </w:r>
          </w:p>
          <w:p w14:paraId="3667FF9B" w14:textId="77777777" w:rsidR="00B66912" w:rsidRPr="00F240DE" w:rsidRDefault="00B66912" w:rsidP="0010508E">
            <w:pPr>
              <w:spacing w:after="120"/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</w:pPr>
            <w:r w:rsidRPr="00F240DE"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  <w:t>Konklusjon:</w:t>
            </w:r>
          </w:p>
          <w:p w14:paraId="4EC5BF9D" w14:textId="77777777" w:rsidR="00B66912" w:rsidRPr="00B66912" w:rsidRDefault="00B66912" w:rsidP="00797A31">
            <w:pPr>
              <w:pStyle w:val="Listeavsnitt"/>
              <w:numPr>
                <w:ilvl w:val="0"/>
                <w:numId w:val="1"/>
              </w:numPr>
              <w:spacing w:after="120"/>
              <w:rPr>
                <w:rFonts w:asciiTheme="minorHAnsi" w:hAnsiTheme="minorHAnsi"/>
                <w:i/>
                <w:sz w:val="22"/>
                <w:szCs w:val="22"/>
              </w:rPr>
            </w:pPr>
            <w:r w:rsidRPr="00B66912">
              <w:rPr>
                <w:rFonts w:asciiTheme="minorHAnsi" w:hAnsiTheme="minorHAnsi"/>
                <w:i/>
                <w:sz w:val="22"/>
                <w:szCs w:val="22"/>
              </w:rPr>
              <w:t>MSR anbefaler at man følger Helsedirektoratets råd i forhold til testing av pasienter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, dvs. at man ikke tester rutinemessig uten indikasjon</w:t>
            </w:r>
          </w:p>
          <w:p w14:paraId="1354CFDE" w14:textId="77777777" w:rsidR="00B66912" w:rsidRPr="00B66912" w:rsidRDefault="00B66912" w:rsidP="0010508E">
            <w:pPr>
              <w:pStyle w:val="Listeavsnitt"/>
              <w:spacing w:after="12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37B7255B" w14:textId="77777777" w:rsidR="00B66912" w:rsidRPr="00B66912" w:rsidRDefault="00B66912" w:rsidP="00797A31">
            <w:pPr>
              <w:pStyle w:val="Listeavsnitt"/>
              <w:numPr>
                <w:ilvl w:val="0"/>
                <w:numId w:val="1"/>
              </w:numPr>
              <w:spacing w:after="120"/>
              <w:rPr>
                <w:rFonts w:asciiTheme="minorHAnsi" w:hAnsiTheme="minorHAnsi"/>
                <w:i/>
                <w:sz w:val="22"/>
                <w:szCs w:val="22"/>
              </w:rPr>
            </w:pPr>
            <w:r w:rsidRPr="00B66912">
              <w:rPr>
                <w:rFonts w:asciiTheme="minorHAnsi" w:hAnsiTheme="minorHAnsi"/>
                <w:i/>
                <w:sz w:val="22"/>
                <w:szCs w:val="22"/>
              </w:rPr>
              <w:t xml:space="preserve">SSHF anbefales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å </w:t>
            </w:r>
            <w:r w:rsidRPr="00B66912">
              <w:rPr>
                <w:rFonts w:asciiTheme="minorHAnsi" w:hAnsiTheme="minorHAnsi"/>
                <w:i/>
                <w:sz w:val="22"/>
                <w:szCs w:val="22"/>
              </w:rPr>
              <w:t xml:space="preserve">inkludere opplysninger om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pasientens </w:t>
            </w:r>
            <w:r w:rsidRPr="00B66912">
              <w:rPr>
                <w:rFonts w:asciiTheme="minorHAnsi" w:hAnsiTheme="minorHAnsi"/>
                <w:i/>
                <w:sz w:val="22"/>
                <w:szCs w:val="22"/>
              </w:rPr>
              <w:t xml:space="preserve">teststatus i epikrisen til pasienter som skal til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kommunal institusjon</w:t>
            </w:r>
          </w:p>
          <w:p w14:paraId="0820E642" w14:textId="77777777" w:rsidR="00B66912" w:rsidRPr="00B66912" w:rsidRDefault="00B66912" w:rsidP="0010508E">
            <w:pPr>
              <w:pStyle w:val="Listeavsnitt"/>
              <w:spacing w:after="12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712E2F6A" w14:textId="77777777" w:rsidR="00B66912" w:rsidRPr="00B66912" w:rsidRDefault="00B66912" w:rsidP="00797A31">
            <w:pPr>
              <w:pStyle w:val="Listeavsnitt"/>
              <w:numPr>
                <w:ilvl w:val="0"/>
                <w:numId w:val="1"/>
              </w:numPr>
              <w:spacing w:after="120"/>
              <w:rPr>
                <w:rFonts w:asciiTheme="minorHAnsi" w:hAnsiTheme="minorHAnsi"/>
                <w:i/>
                <w:sz w:val="22"/>
                <w:szCs w:val="22"/>
              </w:rPr>
            </w:pPr>
            <w:r w:rsidRPr="00B66912">
              <w:rPr>
                <w:rFonts w:asciiTheme="minorHAnsi" w:hAnsiTheme="minorHAnsi"/>
                <w:i/>
                <w:sz w:val="22"/>
                <w:szCs w:val="22"/>
              </w:rPr>
              <w:t>Rådet anbefaler videre at dersom kommuner velger å teste alle, så kan sykehuset gjennomføre selve testen ved utskrivelse, men utskrivningen gjennomføres og karantenereglene, samt videre oppfølging, er mottakerinstitusjonens ansvar</w:t>
            </w:r>
          </w:p>
          <w:p w14:paraId="13DDF39D" w14:textId="77777777" w:rsidR="00B66912" w:rsidRPr="00B66912" w:rsidRDefault="00B66912" w:rsidP="0010508E">
            <w:pPr>
              <w:pStyle w:val="Listeavsnitt"/>
              <w:spacing w:after="12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44D79C7C" w14:textId="77777777" w:rsidR="00B66912" w:rsidRPr="00B66912" w:rsidRDefault="00B66912" w:rsidP="00797A31">
            <w:pPr>
              <w:pStyle w:val="Listeavsnitt"/>
              <w:numPr>
                <w:ilvl w:val="0"/>
                <w:numId w:val="1"/>
              </w:numPr>
              <w:spacing w:after="120"/>
              <w:rPr>
                <w:rFonts w:asciiTheme="minorHAnsi" w:hAnsiTheme="minorHAnsi"/>
                <w:i/>
                <w:sz w:val="22"/>
                <w:szCs w:val="22"/>
              </w:rPr>
            </w:pPr>
            <w:r w:rsidRPr="00B66912">
              <w:rPr>
                <w:rFonts w:asciiTheme="minorHAnsi" w:hAnsiTheme="minorHAnsi"/>
                <w:i/>
                <w:sz w:val="22"/>
                <w:szCs w:val="22"/>
              </w:rPr>
              <w:t xml:space="preserve">Når adekvate mengder hurtigtester blir tilgjengelig på alle nivå, anbefaler rådet at testingen overføres til mottakerinstitusjon </w:t>
            </w:r>
          </w:p>
          <w:p w14:paraId="1E9B21B5" w14:textId="77777777" w:rsidR="00B66912" w:rsidRPr="00B66912" w:rsidRDefault="00B66912" w:rsidP="0010508E">
            <w:pPr>
              <w:pStyle w:val="Listeavsnitt"/>
              <w:spacing w:after="12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4068DC5E" w14:textId="77777777" w:rsidR="00776114" w:rsidRPr="00331D0D" w:rsidRDefault="00B66912" w:rsidP="00797A31">
            <w:pPr>
              <w:pStyle w:val="Listeavsnitt"/>
              <w:numPr>
                <w:ilvl w:val="0"/>
                <w:numId w:val="1"/>
              </w:numPr>
              <w:spacing w:after="120"/>
              <w:rPr>
                <w:rFonts w:asciiTheme="minorHAnsi" w:hAnsiTheme="minorHAnsi" w:cs="Segoe UI"/>
                <w:sz w:val="22"/>
                <w:szCs w:val="22"/>
              </w:rPr>
            </w:pPr>
            <w:r w:rsidRPr="00B66912">
              <w:rPr>
                <w:rFonts w:asciiTheme="minorHAnsi" w:hAnsiTheme="minorHAnsi"/>
                <w:i/>
                <w:sz w:val="22"/>
                <w:szCs w:val="22"/>
              </w:rPr>
              <w:t xml:space="preserve">Medisinsk samhandlingsråd minner om utfordringene knyttet til all </w:t>
            </w:r>
            <w:r w:rsidR="00A45596">
              <w:rPr>
                <w:rFonts w:asciiTheme="minorHAnsi" w:hAnsiTheme="minorHAnsi"/>
                <w:i/>
                <w:sz w:val="22"/>
                <w:szCs w:val="22"/>
              </w:rPr>
              <w:t>testing uten indikasjon (pretest sannsynlighet)</w:t>
            </w:r>
            <w:r w:rsidRPr="00B66912">
              <w:rPr>
                <w:rFonts w:asciiTheme="minorHAnsi" w:hAnsiTheme="minorHAnsi"/>
                <w:i/>
                <w:sz w:val="22"/>
                <w:szCs w:val="22"/>
              </w:rPr>
              <w:t xml:space="preserve"> og oppfordrer tjenestene til å opprettholde gjeldende smittevernrutiner (sosial avstand og håndhygiene mv.) uavhengig av testing og testresultat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428" w14:textId="77777777"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156F9C7D" w14:textId="77777777"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75D32599" w14:textId="77777777"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05655A5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B20668B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350AC6E7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797D4EAD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57403CFB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56704605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2C3B09AE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6FEF2635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499C2D4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59D4175B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3890DDD1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289A7A03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9478BD2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58CBE31C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20D491A0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15E3628C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F4849E8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23483A33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24ED861A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73E698A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063A1A8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93D91A8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5A09BBE3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279D5D9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570DAC43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2967CA7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2238E53E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7BBF3571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7172198C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14B0679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7644181C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2D5DE74E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067F5C01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5EF93C79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1A91CAF2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66236959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778D6773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06C6AB1B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0E9ED5E5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7E8076AC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2155A570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6DB88463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5ABBCDD6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71D47EF4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00174C48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18D62087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69AAA1A0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520762AA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0060FED6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  <w:t>Kjetil informerer OSS</w:t>
            </w:r>
          </w:p>
          <w:p w14:paraId="241CFA83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06C331DC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095C849D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3D583DA6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7D41CF22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60B456A4" w14:textId="77777777" w:rsidR="0022405E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016CC532" w14:textId="77777777" w:rsidR="0022405E" w:rsidRPr="00446170" w:rsidRDefault="0022405E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</w:tc>
      </w:tr>
      <w:tr w:rsidR="00120A17" w:rsidRPr="00A76967" w14:paraId="3BE38B25" w14:textId="77777777" w:rsidTr="00D836D8">
        <w:trPr>
          <w:trHeight w:val="4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6D46" w14:textId="77777777" w:rsidR="00120A17" w:rsidRDefault="00AF35DD" w:rsidP="00A37A81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lastRenderedPageBreak/>
              <w:t>12</w:t>
            </w:r>
            <w:r w:rsidR="00120A17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/2020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FDE7" w14:textId="77777777" w:rsidR="00120A17" w:rsidRDefault="00AF35DD" w:rsidP="00120A17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 w:rsidRPr="00AF35DD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Retningslinjer og ansvarsforhold ved henvisning til akutt radiologi</w:t>
            </w: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 xml:space="preserve"> </w:t>
            </w:r>
            <w:r w:rsidRPr="00AF35DD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/ ortopedi ved SSHF</w:t>
            </w:r>
          </w:p>
          <w:p w14:paraId="17BD8134" w14:textId="77777777" w:rsidR="002B25F7" w:rsidRDefault="00B645DC" w:rsidP="00A45596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>Oppfølging av sak 04/2019</w:t>
            </w:r>
            <w:r w:rsidR="00CF724E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,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 08/2019</w:t>
            </w:r>
            <w:r w:rsidR="00CF724E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 og 17/2019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. Problemstillingen var </w:t>
            </w:r>
            <w:r w:rsidR="002B25F7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2-delt:</w:t>
            </w:r>
          </w:p>
          <w:p w14:paraId="5C126C26" w14:textId="77777777" w:rsidR="002B25F7" w:rsidRDefault="002B25F7" w:rsidP="00797A31">
            <w:pPr>
              <w:pStyle w:val="Listeavsnitt"/>
              <w:numPr>
                <w:ilvl w:val="0"/>
                <w:numId w:val="7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>Behov for tydeliggjøring av henvisningsrutiner til radiologi og skadepol./akuttmottak ved skade</w:t>
            </w:r>
          </w:p>
          <w:p w14:paraId="49CBD9DA" w14:textId="77777777" w:rsidR="002B25F7" w:rsidRDefault="002B25F7" w:rsidP="00797A31">
            <w:pPr>
              <w:pStyle w:val="Listeavsnitt"/>
              <w:numPr>
                <w:ilvl w:val="0"/>
                <w:numId w:val="7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>I</w:t>
            </w:r>
            <w:r w:rsidRPr="002B25F7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kke adekvate rutiner for oppfølging av 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>pasienter som fikk påvist brudd etter at de hadde forlatt sykehuset (pasientsikkerhetsrisiko)</w:t>
            </w:r>
          </w:p>
          <w:p w14:paraId="2C715730" w14:textId="77777777" w:rsidR="002B25F7" w:rsidRDefault="002B25F7" w:rsidP="002B25F7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  <w:p w14:paraId="132AA1DC" w14:textId="77777777" w:rsidR="002B25F7" w:rsidRDefault="002B25F7" w:rsidP="002B25F7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MSR </w:t>
            </w:r>
            <w:r w:rsidR="00B645DC" w:rsidRPr="002B25F7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anbefalte SSHF å ha 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en </w:t>
            </w:r>
            <w:r w:rsidR="00B645DC" w:rsidRPr="002B25F7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foretaksovergripende rutine for håndtering av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 denne pasientgruppen i mai 2019</w:t>
            </w:r>
            <w:r w:rsidR="00B645DC" w:rsidRPr="002B25F7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(sak 08/2019) og Kjetil Juva fikk ansvar for å følge dette opp. </w:t>
            </w:r>
          </w:p>
          <w:p w14:paraId="65902B18" w14:textId="77777777" w:rsidR="002B25F7" w:rsidRDefault="002B25F7" w:rsidP="002B25F7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  <w:p w14:paraId="66D21E12" w14:textId="77777777" w:rsidR="00A32310" w:rsidRDefault="002B25F7" w:rsidP="002B25F7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Saken har vært et lengre lerret å bleke, og sykehuslokasjonenes ulikheter har medført at en foretaksovergripende rutine ikke har vært mulig eller hensiktsmessig. </w:t>
            </w:r>
            <w:r w:rsidR="00A45596" w:rsidRPr="002B25F7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AU-MSR har 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derfor </w:t>
            </w:r>
            <w:r w:rsidR="00A45596" w:rsidRPr="002B25F7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i samarbeid med de 3 somatiske klinikkene </w:t>
            </w:r>
            <w:r w:rsidR="00C945EC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og Medisinsk serviceklinikk, </w:t>
            </w:r>
            <w:r w:rsidR="00CF724E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utarbeidet </w:t>
            </w:r>
            <w:r w:rsidR="00A45596" w:rsidRPr="002B25F7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oppdatert</w:t>
            </w:r>
            <w:r w:rsidR="00CF724E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e</w:t>
            </w:r>
            <w:r w:rsidR="00A45596" w:rsidRPr="002B25F7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 retningslinjene ved henvisning til akutt radiologi/ortopedi </w:t>
            </w:r>
            <w:r w:rsidR="00CF724E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som også s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>ikre</w:t>
            </w:r>
            <w:r w:rsidR="00CF724E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r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 at </w:t>
            </w:r>
            <w:r w:rsidR="00A32310" w:rsidRPr="002B25F7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rutiner for oppfølging av </w:t>
            </w:r>
            <w:r w:rsidR="00A32310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pasienter som får påvist brudd etter at de har forlatt sykehuset er tydelig definert (slik at det ikke er fare for at slike pasienter får forsinket behandling). </w:t>
            </w:r>
          </w:p>
          <w:p w14:paraId="25D87707" w14:textId="77777777" w:rsidR="00A32310" w:rsidRDefault="00A32310" w:rsidP="002B25F7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  <w:p w14:paraId="7C5AFCE3" w14:textId="77777777" w:rsidR="00120A17" w:rsidRPr="00F240DE" w:rsidRDefault="00120A17" w:rsidP="00120A17">
            <w:pPr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</w:pPr>
            <w:r w:rsidRPr="00F240DE"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  <w:t>Konklusjon:</w:t>
            </w:r>
          </w:p>
          <w:p w14:paraId="49A49D41" w14:textId="77777777" w:rsidR="00CF724E" w:rsidRPr="00CF724E" w:rsidRDefault="00A32310" w:rsidP="00797A31">
            <w:pPr>
              <w:pStyle w:val="Listeavsnitt"/>
              <w:numPr>
                <w:ilvl w:val="0"/>
                <w:numId w:val="15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MSR anbefaler at r</w:t>
            </w:r>
            <w:r w:rsidRPr="00A32310">
              <w:rPr>
                <w:rFonts w:asciiTheme="minorHAnsi" w:hAnsiTheme="minorHAnsi"/>
                <w:i/>
                <w:sz w:val="22"/>
                <w:szCs w:val="22"/>
              </w:rPr>
              <w:t>etningslinjer og ansvarsforhold ved henvisning til akutt radiologi / ortopedi ved SSHF i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nnarbeides i sykehusets </w:t>
            </w:r>
            <w:r w:rsidR="00CF724E">
              <w:rPr>
                <w:rFonts w:asciiTheme="minorHAnsi" w:hAnsiTheme="minorHAnsi"/>
                <w:i/>
                <w:sz w:val="22"/>
                <w:szCs w:val="22"/>
              </w:rPr>
              <w:t>interne rutiner</w:t>
            </w:r>
          </w:p>
          <w:p w14:paraId="4B31AC24" w14:textId="77777777" w:rsidR="00CF724E" w:rsidRPr="00CF724E" w:rsidRDefault="00CF724E" w:rsidP="00797A31">
            <w:pPr>
              <w:pStyle w:val="Listeavsnitt"/>
              <w:numPr>
                <w:ilvl w:val="0"/>
                <w:numId w:val="15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MSR anbefaler at rutineoppdateringene gjøres kjent i linjen</w:t>
            </w:r>
          </w:p>
          <w:p w14:paraId="4BA5BFA3" w14:textId="77777777" w:rsidR="00120A17" w:rsidRDefault="00CF724E" w:rsidP="00797A31">
            <w:pPr>
              <w:pStyle w:val="Listeavsnitt"/>
              <w:numPr>
                <w:ilvl w:val="0"/>
                <w:numId w:val="15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CF724E">
              <w:rPr>
                <w:rFonts w:asciiTheme="minorHAnsi" w:hAnsiTheme="minorHAnsi"/>
                <w:i/>
                <w:sz w:val="22"/>
                <w:szCs w:val="22"/>
              </w:rPr>
              <w:t xml:space="preserve">MSR anbefaler at </w:t>
            </w:r>
            <w:r w:rsidRPr="00CF724E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 xml:space="preserve">Henvisningsrutinene publiseres på </w:t>
            </w:r>
            <w:hyperlink r:id="rId10" w:history="1">
              <w:r w:rsidRPr="00CF724E">
                <w:rPr>
                  <w:rStyle w:val="Hyperkobling"/>
                  <w:rFonts w:asciiTheme="minorHAnsi" w:hAnsiTheme="minorHAnsi" w:cs="Segoe UI"/>
                  <w:i/>
                  <w:sz w:val="22"/>
                  <w:szCs w:val="22"/>
                  <w:lang w:eastAsia="en-US"/>
                </w:rPr>
                <w:t>www.praksisnytt.no</w:t>
              </w:r>
            </w:hyperlink>
            <w:r w:rsidRPr="00CF724E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 xml:space="preserve"> slik at fastlegene er informert</w:t>
            </w:r>
          </w:p>
          <w:p w14:paraId="30B5B2E6" w14:textId="77777777" w:rsidR="00797A31" w:rsidRPr="00797A31" w:rsidRDefault="00797A31" w:rsidP="00797A31">
            <w:pPr>
              <w:pStyle w:val="Listeavsnitt"/>
              <w:numPr>
                <w:ilvl w:val="0"/>
                <w:numId w:val="15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MSR anbefaler at informasjonen sendes til alle fastleger gjennom praksisnytt</w:t>
            </w:r>
            <w:r w:rsidRPr="00797A31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 xml:space="preserve"> </w:t>
            </w:r>
          </w:p>
          <w:p w14:paraId="459CDD7F" w14:textId="77777777" w:rsidR="00CF724E" w:rsidRDefault="00CF724E" w:rsidP="00120A17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</w:p>
          <w:p w14:paraId="2DEA36F7" w14:textId="77777777" w:rsidR="00A32310" w:rsidRPr="00A32310" w:rsidRDefault="00A32310" w:rsidP="00120A17">
            <w:pPr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</w:pPr>
            <w:r w:rsidRPr="00A32310"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  <w:t>Vedlegg:</w:t>
            </w:r>
          </w:p>
          <w:p w14:paraId="0D4B75CE" w14:textId="77777777" w:rsidR="00A32310" w:rsidRPr="00A32310" w:rsidRDefault="00A32310" w:rsidP="00797A31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A32310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Retningslinjer og ansvarsforhold ved henvisning til akutt radiologi</w:t>
            </w:r>
            <w:r w:rsidR="00CF724E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 / </w:t>
            </w:r>
            <w:r w:rsidRPr="00A32310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ortopedi ved SSHF</w:t>
            </w:r>
          </w:p>
          <w:p w14:paraId="22F30BAC" w14:textId="77777777" w:rsidR="00A32310" w:rsidRDefault="00A32310" w:rsidP="00120A17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82ED" w14:textId="77777777" w:rsidR="00120A17" w:rsidRDefault="00120A17" w:rsidP="00D54788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49295D7" w14:textId="77777777" w:rsidR="000432A0" w:rsidRDefault="000432A0" w:rsidP="00AF35DD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68B277B" w14:textId="77777777" w:rsidR="00CF724E" w:rsidRDefault="00CF724E" w:rsidP="00AF35DD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6376735F" w14:textId="77777777" w:rsidR="00CF724E" w:rsidRDefault="00CF724E" w:rsidP="00AF35DD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5234ED9C" w14:textId="77777777" w:rsidR="00CF724E" w:rsidRDefault="00CF724E" w:rsidP="00AF35DD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538C5B4D" w14:textId="77777777" w:rsidR="00CF724E" w:rsidRDefault="00CF724E" w:rsidP="00AF35DD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A978CD0" w14:textId="77777777" w:rsidR="00CF724E" w:rsidRDefault="00CF724E" w:rsidP="00AF35DD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3301DA5C" w14:textId="77777777" w:rsidR="00CF724E" w:rsidRDefault="00CF724E" w:rsidP="00AF35DD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6922CA3F" w14:textId="77777777" w:rsidR="00CF724E" w:rsidRDefault="00CF724E" w:rsidP="00AF35DD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76B5B005" w14:textId="77777777" w:rsidR="00CF724E" w:rsidRDefault="00CF724E" w:rsidP="00AF35DD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332EA78E" w14:textId="77777777" w:rsidR="00CF724E" w:rsidRDefault="00CF724E" w:rsidP="00AF35DD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1FDEB041" w14:textId="77777777" w:rsidR="00CF724E" w:rsidRDefault="00CF724E" w:rsidP="00AF35DD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3D1C73E6" w14:textId="77777777" w:rsidR="00CF724E" w:rsidRDefault="00CF724E" w:rsidP="00AF35DD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07970092" w14:textId="77777777" w:rsidR="00CF724E" w:rsidRDefault="00CF724E" w:rsidP="00AF35DD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6FD957D" w14:textId="77777777" w:rsidR="00CF724E" w:rsidRDefault="00CF724E" w:rsidP="00AF35DD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095CBBF3" w14:textId="77777777" w:rsidR="00CF724E" w:rsidRDefault="00CF724E" w:rsidP="00AF35DD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5A2FD18" w14:textId="77777777" w:rsidR="00CF724E" w:rsidRDefault="00CF724E" w:rsidP="00AF35DD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18D454D1" w14:textId="77777777" w:rsidR="00CF724E" w:rsidRDefault="00CF724E" w:rsidP="00AF35DD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  <w:t>1. og 2. - Kjetil Juva informerer Fagdirektør</w:t>
            </w:r>
          </w:p>
          <w:p w14:paraId="24C69A43" w14:textId="77777777" w:rsidR="00CF724E" w:rsidRDefault="00CF724E" w:rsidP="00AF35DD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7218C8FD" w14:textId="77777777" w:rsidR="00CF724E" w:rsidRPr="00CF724E" w:rsidRDefault="00CF724E" w:rsidP="00CF724E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  <w:r w:rsidRPr="00CF724E"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  <w:t>3.</w:t>
            </w:r>
            <w: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797A31"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  <w:t xml:space="preserve">og 4. </w:t>
            </w:r>
            <w:r w:rsidRPr="00CF724E"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  <w:t>Anton Rodahl</w:t>
            </w:r>
          </w:p>
        </w:tc>
      </w:tr>
      <w:tr w:rsidR="00A62315" w:rsidRPr="00A76967" w14:paraId="168525A3" w14:textId="77777777" w:rsidTr="00D836D8">
        <w:trPr>
          <w:trHeight w:val="4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E063" w14:textId="77777777" w:rsidR="00F641EB" w:rsidRDefault="00AF35DD" w:rsidP="004B766D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13</w:t>
            </w:r>
            <w:r w:rsidR="008B17F8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/2020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F68D" w14:textId="77777777" w:rsidR="008B17F8" w:rsidRDefault="00AF35DD" w:rsidP="008B17F8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 w:rsidRPr="00AF35DD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Samarbeid mellom fastleger og sykehus rundt pasienter med påvist multiresistente bakterier som skal elektivt innlegges/behandles ved SSHF</w:t>
            </w:r>
          </w:p>
          <w:p w14:paraId="3F806F17" w14:textId="77777777" w:rsidR="00C945EC" w:rsidRDefault="00CF724E" w:rsidP="00CF724E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Oppfølging av sak 18/2019. Problemstillingen var </w:t>
            </w:r>
            <w:r w:rsidR="00C945EC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meldt av fastleger som erfarte at elektive pasienter som fikk påvist MRSA ved mottak SSHF, og fikk behandlingen avlyst i påvente av sanering, kunne «falle ut» av køen og måtte henvises på nytt (stå på venteliste for inngrepet/behandlingen 2 ganger).</w:t>
            </w:r>
          </w:p>
          <w:p w14:paraId="3D32A677" w14:textId="77777777" w:rsidR="00C945EC" w:rsidRDefault="00C945EC" w:rsidP="00CF724E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  <w:p w14:paraId="5B28E64A" w14:textId="77777777" w:rsidR="00C945EC" w:rsidRDefault="00C945EC" w:rsidP="00CF724E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>MSR ga AU-MSR i oppdrag å kartlegge problemstillingen i september 2019 og arbeidet har identifisert følgende:</w:t>
            </w:r>
          </w:p>
          <w:p w14:paraId="4B179487" w14:textId="77777777" w:rsidR="00C945EC" w:rsidRPr="00C945EC" w:rsidRDefault="00C945EC" w:rsidP="00797A31">
            <w:pPr>
              <w:pStyle w:val="Listeavsnitt"/>
              <w:numPr>
                <w:ilvl w:val="0"/>
                <w:numId w:val="8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C945EC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Svikt i screening</w:t>
            </w:r>
          </w:p>
          <w:p w14:paraId="62A9CB3E" w14:textId="77777777" w:rsidR="00C945EC" w:rsidRPr="00C945EC" w:rsidRDefault="00C945EC" w:rsidP="00797A31">
            <w:pPr>
              <w:pStyle w:val="Listeavsnitt"/>
              <w:numPr>
                <w:ilvl w:val="0"/>
                <w:numId w:val="9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C945EC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Fastlegen glemmer å sjekke kriteriene for screening</w:t>
            </w:r>
          </w:p>
          <w:p w14:paraId="26E6FF50" w14:textId="77777777" w:rsidR="00C945EC" w:rsidRPr="00C945EC" w:rsidRDefault="00C945EC" w:rsidP="00797A31">
            <w:pPr>
              <w:pStyle w:val="Listeavsnitt"/>
              <w:numPr>
                <w:ilvl w:val="0"/>
                <w:numId w:val="9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C945EC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Teksten med kriteriene i innkallingsbrev til pasienten ikke lest/forstått  </w:t>
            </w:r>
          </w:p>
          <w:p w14:paraId="06DD6839" w14:textId="77777777" w:rsidR="00C945EC" w:rsidRDefault="00C945EC" w:rsidP="00797A31">
            <w:pPr>
              <w:pStyle w:val="Listeavsnitt"/>
              <w:numPr>
                <w:ilvl w:val="0"/>
                <w:numId w:val="8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C945EC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Fastleger usikre på ansvar og rutiner for sanering ved påvist MRSA</w:t>
            </w:r>
          </w:p>
          <w:p w14:paraId="76F4031C" w14:textId="77777777" w:rsidR="00C945EC" w:rsidRPr="00C945EC" w:rsidRDefault="00C945EC" w:rsidP="00797A31">
            <w:pPr>
              <w:pStyle w:val="Listeavsnitt"/>
              <w:numPr>
                <w:ilvl w:val="0"/>
                <w:numId w:val="8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C945EC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Pasienter får behandling utsatt grunnet påvist eller manglende screening MRSA</w:t>
            </w:r>
          </w:p>
          <w:p w14:paraId="0A28300D" w14:textId="77777777" w:rsidR="00C945EC" w:rsidRPr="00C945EC" w:rsidRDefault="00C945EC" w:rsidP="00797A31">
            <w:pPr>
              <w:pStyle w:val="Listeavsnitt"/>
              <w:numPr>
                <w:ilvl w:val="0"/>
                <w:numId w:val="10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C945EC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Mangler rutiner for tilbakemelding når sanering forsøkt og gjenopptak av behandling på sykehuset</w:t>
            </w:r>
          </w:p>
          <w:p w14:paraId="42C82556" w14:textId="77777777" w:rsidR="00C945EC" w:rsidRPr="00C945EC" w:rsidRDefault="00C945EC" w:rsidP="00797A31">
            <w:pPr>
              <w:pStyle w:val="Listeavsnitt"/>
              <w:numPr>
                <w:ilvl w:val="0"/>
                <w:numId w:val="8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C945EC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Ulik håndtering av problematikken ved SSHF</w:t>
            </w:r>
          </w:p>
          <w:p w14:paraId="134D1A14" w14:textId="77777777" w:rsidR="00CF724E" w:rsidRPr="00C945EC" w:rsidRDefault="00C945EC" w:rsidP="00797A31">
            <w:pPr>
              <w:pStyle w:val="Listeavsnitt"/>
              <w:numPr>
                <w:ilvl w:val="0"/>
                <w:numId w:val="11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C945EC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Synes å variere fra 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lokasjon til lokasjon, og </w:t>
            </w:r>
            <w:r w:rsidRPr="00C945EC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også fra avdeling til avdeling</w:t>
            </w:r>
          </w:p>
          <w:p w14:paraId="0FEE2FD6" w14:textId="77777777" w:rsidR="004B766D" w:rsidRDefault="004B766D" w:rsidP="008B17F8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  <w:p w14:paraId="3FADCB8E" w14:textId="77777777" w:rsidR="00C945EC" w:rsidRDefault="00C945EC" w:rsidP="008B17F8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lastRenderedPageBreak/>
              <w:t xml:space="preserve">I samarbeid med </w:t>
            </w:r>
            <w:r w:rsidR="00186D45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de 3 somatiske klinikkene og Smittevernenheten ved SSHF har AU-MSR gjennomført følgende tiltak:</w:t>
            </w:r>
          </w:p>
          <w:p w14:paraId="0966E3E0" w14:textId="77777777" w:rsidR="00186D45" w:rsidRPr="00186D45" w:rsidRDefault="00186D45" w:rsidP="00797A31">
            <w:pPr>
              <w:pStyle w:val="Listeavsnitt"/>
              <w:numPr>
                <w:ilvl w:val="0"/>
                <w:numId w:val="12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186D45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Svikt i screening</w:t>
            </w:r>
          </w:p>
          <w:p w14:paraId="4B40C152" w14:textId="77777777" w:rsidR="00186D45" w:rsidRPr="00186D45" w:rsidRDefault="00186D45" w:rsidP="00797A31">
            <w:pPr>
              <w:pStyle w:val="Listeavsnitt"/>
              <w:numPr>
                <w:ilvl w:val="0"/>
                <w:numId w:val="13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186D45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Fastlegene får jevnlig påminning om kriteriene for screening</w:t>
            </w:r>
          </w:p>
          <w:p w14:paraId="0E45426E" w14:textId="77777777" w:rsidR="00186D45" w:rsidRPr="00186D45" w:rsidRDefault="00186D45" w:rsidP="00797A31">
            <w:pPr>
              <w:pStyle w:val="Listeavsnitt"/>
              <w:numPr>
                <w:ilvl w:val="0"/>
                <w:numId w:val="13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186D45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SSHF sine kriterier for screening og rutiner for sanering er publisert på  </w:t>
            </w:r>
            <w:hyperlink r:id="rId11" w:history="1">
              <w:r w:rsidRPr="00186D45">
                <w:rPr>
                  <w:rStyle w:val="Hyperkobling"/>
                  <w:rFonts w:asciiTheme="minorHAnsi" w:hAnsiTheme="minorHAnsi" w:cs="Segoe UI"/>
                  <w:sz w:val="22"/>
                  <w:szCs w:val="22"/>
                  <w:lang w:eastAsia="en-US"/>
                </w:rPr>
                <w:t>www.praksisnytt.no</w:t>
              </w:r>
            </w:hyperlink>
            <w:r w:rsidRPr="00186D45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 </w:t>
            </w:r>
          </w:p>
          <w:p w14:paraId="12122F0F" w14:textId="77777777" w:rsidR="00186D45" w:rsidRPr="00186D45" w:rsidRDefault="00186D45" w:rsidP="00797A31">
            <w:pPr>
              <w:pStyle w:val="Listeavsnitt"/>
              <w:numPr>
                <w:ilvl w:val="0"/>
                <w:numId w:val="13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186D45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Teksten med kriteriene i innkallingsbrev til pasienten er endret i regional mal</w:t>
            </w:r>
            <w:r w:rsidR="00797A31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 - mye tydeligere for pasient og henviser</w:t>
            </w:r>
          </w:p>
          <w:p w14:paraId="5EA415A9" w14:textId="77777777" w:rsidR="00186D45" w:rsidRPr="00186D45" w:rsidRDefault="00186D45" w:rsidP="00797A31">
            <w:pPr>
              <w:pStyle w:val="Listeavsnitt"/>
              <w:numPr>
                <w:ilvl w:val="0"/>
                <w:numId w:val="12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186D45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Fastleger usikre på ansvar og rutiner for sanering ved påvist MRSA</w:t>
            </w:r>
          </w:p>
          <w:p w14:paraId="57DFCB9C" w14:textId="77777777" w:rsidR="00186D45" w:rsidRPr="00186D45" w:rsidRDefault="00186D45" w:rsidP="00797A31">
            <w:pPr>
              <w:pStyle w:val="Listeavsnitt"/>
              <w:numPr>
                <w:ilvl w:val="0"/>
                <w:numId w:val="13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186D45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Sanering er en fastlegeoppgave</w:t>
            </w:r>
          </w:p>
          <w:p w14:paraId="3F9309FF" w14:textId="77777777" w:rsidR="00186D45" w:rsidRPr="00186D45" w:rsidRDefault="00186D45" w:rsidP="00797A31">
            <w:pPr>
              <w:pStyle w:val="Listeavsnitt"/>
              <w:numPr>
                <w:ilvl w:val="0"/>
                <w:numId w:val="13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186D45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På 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>www.praksisnytt.no</w:t>
            </w:r>
            <w:r w:rsidRPr="00186D45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 ligger det: </w:t>
            </w:r>
          </w:p>
          <w:p w14:paraId="06F34BD0" w14:textId="77777777" w:rsidR="00186D45" w:rsidRPr="00186D45" w:rsidRDefault="00186D45" w:rsidP="00797A31">
            <w:pPr>
              <w:pStyle w:val="Listeavsnitt"/>
              <w:numPr>
                <w:ilvl w:val="0"/>
                <w:numId w:val="14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186D45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Generell introduksjon</w:t>
            </w:r>
          </w:p>
          <w:p w14:paraId="3EB02BAD" w14:textId="77777777" w:rsidR="00186D45" w:rsidRPr="00186D45" w:rsidRDefault="00186D45" w:rsidP="00797A31">
            <w:pPr>
              <w:pStyle w:val="Listeavsnitt"/>
              <w:numPr>
                <w:ilvl w:val="0"/>
                <w:numId w:val="14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186D45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Link til FHI´s veileder inkludert rutiner for sanering</w:t>
            </w:r>
          </w:p>
          <w:p w14:paraId="07885FC5" w14:textId="77777777" w:rsidR="00186D45" w:rsidRPr="00186D45" w:rsidRDefault="00186D45" w:rsidP="00797A31">
            <w:pPr>
              <w:pStyle w:val="Listeavsnitt"/>
              <w:numPr>
                <w:ilvl w:val="0"/>
                <w:numId w:val="14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186D45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Nevnte screeningsprosedyre godkjent på foretaksnivå</w:t>
            </w:r>
          </w:p>
          <w:p w14:paraId="15CECCD4" w14:textId="77777777" w:rsidR="00186D45" w:rsidRPr="00186D45" w:rsidRDefault="00186D45" w:rsidP="00797A31">
            <w:pPr>
              <w:pStyle w:val="Listeavsnitt"/>
              <w:numPr>
                <w:ilvl w:val="0"/>
                <w:numId w:val="14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186D45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Pasientinformasjon for MRSA, ESBL og VRE på flere språk</w:t>
            </w:r>
          </w:p>
          <w:p w14:paraId="3994A6B3" w14:textId="77777777" w:rsidR="00186D45" w:rsidRPr="00186D45" w:rsidRDefault="00186D45" w:rsidP="00797A31">
            <w:pPr>
              <w:pStyle w:val="Listeavsnitt"/>
              <w:numPr>
                <w:ilvl w:val="0"/>
                <w:numId w:val="12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186D45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Pasienter får behandling utsatt grunnet påvist eller manglende screening MRSA</w:t>
            </w:r>
          </w:p>
          <w:p w14:paraId="16CBF806" w14:textId="77777777" w:rsidR="00186D45" w:rsidRPr="00186D45" w:rsidRDefault="00186D45" w:rsidP="00797A31">
            <w:pPr>
              <w:pStyle w:val="Listeavsnitt"/>
              <w:numPr>
                <w:ilvl w:val="0"/>
                <w:numId w:val="13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Problemstillingen har vært tatt opp i foretaksledelsen og </w:t>
            </w:r>
            <w:r w:rsidRPr="00186D45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Fagdirektør skal lage forslag til 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>foretaksovergripende rutine for håndtering av denne pasientgruppen slik at de ikke faller ut av køen</w:t>
            </w:r>
          </w:p>
          <w:p w14:paraId="29F6AD3D" w14:textId="77777777" w:rsidR="00186D45" w:rsidRPr="00186D45" w:rsidRDefault="00186D45" w:rsidP="00797A31">
            <w:pPr>
              <w:pStyle w:val="Listeavsnitt"/>
              <w:numPr>
                <w:ilvl w:val="0"/>
                <w:numId w:val="12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186D45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Lage rutiner for lik håndtering av MRSA på hele SSHF</w:t>
            </w:r>
          </w:p>
          <w:p w14:paraId="7760B355" w14:textId="77777777" w:rsidR="00186D45" w:rsidRPr="00186D45" w:rsidRDefault="00186D45" w:rsidP="00797A31">
            <w:pPr>
              <w:pStyle w:val="Listeavsnitt"/>
              <w:numPr>
                <w:ilvl w:val="0"/>
                <w:numId w:val="13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>Løses gjennom tiltak under punkt 3</w:t>
            </w:r>
          </w:p>
          <w:p w14:paraId="53CCAA3B" w14:textId="77777777" w:rsidR="00186D45" w:rsidRDefault="00186D45" w:rsidP="00186D45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  <w:p w14:paraId="6DAB7811" w14:textId="77777777" w:rsidR="008B17F8" w:rsidRPr="00F240DE" w:rsidRDefault="008B17F8" w:rsidP="008B17F8">
            <w:pPr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</w:pPr>
            <w:r w:rsidRPr="00F240DE"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  <w:t>Konklusjon:</w:t>
            </w:r>
          </w:p>
          <w:p w14:paraId="662A0DD3" w14:textId="77777777" w:rsidR="00797A31" w:rsidRPr="00797A31" w:rsidRDefault="00797A31" w:rsidP="00797A31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MSR vurderer at g</w:t>
            </w:r>
            <w:r w:rsidRPr="00797A31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jennomførte tiltak bidrar til at pasienter som er bærere av multiresistente bakterier blir oppdaget før behandling på sykehuset</w:t>
            </w:r>
          </w:p>
          <w:p w14:paraId="766135FC" w14:textId="77777777" w:rsidR="00797A31" w:rsidRDefault="00797A31" w:rsidP="00797A31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MSR anbefaler at alle allmennlegeutvalg (ALU) i Agder informerer om f</w:t>
            </w:r>
            <w:r w:rsidRPr="00797A31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astlegens ansvar ved sanering</w:t>
            </w:r>
            <w: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 xml:space="preserve">, samt om </w:t>
            </w:r>
            <w:r w:rsidRPr="00797A31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tilgjengelig råd og veiledninger for håndtering av denne pasientgruppen</w:t>
            </w:r>
            <w: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 xml:space="preserve"> som er publisert på </w:t>
            </w:r>
            <w:hyperlink r:id="rId12" w:history="1">
              <w:r w:rsidRPr="00F04B4D">
                <w:rPr>
                  <w:rStyle w:val="Hyperkobling"/>
                  <w:rFonts w:asciiTheme="minorHAnsi" w:hAnsiTheme="minorHAnsi" w:cs="Segoe UI"/>
                  <w:i/>
                  <w:sz w:val="22"/>
                  <w:szCs w:val="22"/>
                  <w:lang w:eastAsia="en-US"/>
                </w:rPr>
                <w:t>www.praksisnytt.no</w:t>
              </w:r>
            </w:hyperlink>
          </w:p>
          <w:p w14:paraId="0A60F8B0" w14:textId="77777777" w:rsidR="00797A31" w:rsidRPr="00797A31" w:rsidRDefault="00797A31" w:rsidP="00797A31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MSR anbefaler at informasjonen sendes til alle fastleger gjennom praksisnytt, og at det sendes halvårlige påminnelser om dette gjennom samme kanal</w:t>
            </w:r>
            <w:r w:rsidRPr="00797A31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 xml:space="preserve"> </w:t>
            </w:r>
          </w:p>
          <w:p w14:paraId="45314065" w14:textId="77777777" w:rsidR="00A62315" w:rsidRPr="00026C4D" w:rsidRDefault="00797A31" w:rsidP="00797A31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797A31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MSR anbefaler at SSHF v/ Fagdirektør etablerer rutiner for oppfølging av sanerte pasienter slik at disse kommer raskere til planlagt behandling på sykehuset. MSR informeres når dette er på plass</w:t>
            </w:r>
          </w:p>
          <w:p w14:paraId="0D802EF9" w14:textId="77777777" w:rsidR="008B17F8" w:rsidRDefault="008B17F8" w:rsidP="008B17F8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B67D" w14:textId="77777777" w:rsidR="00F641EB" w:rsidRDefault="00F641EB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75E39D71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381BF58E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23A82C05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05AD70B8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69C9FF75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055A29B0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6EFDF3EA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1F8353F1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0C3808D0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5CB6D93F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6DB91CE0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7195B927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17ED1012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7C8E4299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789DF365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5E8F67CB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3E8DCB8F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60C70D9B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F61D949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77D9A786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73FCAFFF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3FF8AE44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2423E72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026269CB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14814413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3E1D50A4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05AB75DA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1DD4F09B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0D1F3DEF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0297A237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0E36C7CA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669B3F83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6CE07F18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7B78BB3E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61B43FB8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5AFD5BF8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4BE2909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E392658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0180E347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89BBE16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19D81AAD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12842522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72914B5C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B050999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1B4E121E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1D19D314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02C3795D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2013A91F" w14:textId="77777777" w:rsidR="00BC6D52" w:rsidRDefault="00BC6D52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2D4BD6EB" w14:textId="77777777" w:rsidR="00BC6D52" w:rsidRPr="00E77CC8" w:rsidRDefault="00BC6D52" w:rsidP="00F641EB">
            <w:pPr>
              <w:rPr>
                <w:rFonts w:asciiTheme="minorHAnsi" w:hAnsiTheme="minorHAnsi" w:cs="Segoe UI"/>
                <w:color w:val="FF0000"/>
                <w:sz w:val="28"/>
                <w:szCs w:val="28"/>
                <w:lang w:eastAsia="en-US"/>
              </w:rPr>
            </w:pPr>
          </w:p>
          <w:p w14:paraId="5180B8E1" w14:textId="77777777" w:rsidR="00BC6D52" w:rsidRDefault="00E77CC8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  <w:t>ALU-ledere</w:t>
            </w:r>
          </w:p>
          <w:p w14:paraId="524182D4" w14:textId="77777777" w:rsidR="00BF20AA" w:rsidRDefault="00BF20AA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3644D8DB" w14:textId="77777777" w:rsidR="00E77CC8" w:rsidRDefault="00E77CC8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0A401B3C" w14:textId="77777777" w:rsidR="00E77CC8" w:rsidRDefault="00E77CC8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58617FD2" w14:textId="77777777" w:rsidR="00E77CC8" w:rsidRDefault="00E77CC8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  <w:t>Anton Rodahl</w:t>
            </w:r>
          </w:p>
          <w:p w14:paraId="2F718FE1" w14:textId="77777777" w:rsidR="00E77CC8" w:rsidRDefault="00E77CC8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32A9767E" w14:textId="77777777" w:rsidR="00E77CC8" w:rsidRDefault="00E77CC8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2A338BC1" w14:textId="77777777" w:rsidR="00E77CC8" w:rsidRDefault="00E77CC8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  <w:t>Kjetil Juva</w:t>
            </w:r>
          </w:p>
        </w:tc>
      </w:tr>
      <w:tr w:rsidR="004B766D" w:rsidRPr="00A76967" w14:paraId="76DB89ED" w14:textId="77777777" w:rsidTr="00D836D8">
        <w:trPr>
          <w:trHeight w:val="4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8C60" w14:textId="77777777" w:rsidR="004B766D" w:rsidRDefault="00AF35DD" w:rsidP="004B766D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lastRenderedPageBreak/>
              <w:t>14</w:t>
            </w:r>
            <w:r w:rsidR="004B766D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/2020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EE28" w14:textId="77777777" w:rsidR="00120A17" w:rsidRPr="00120A17" w:rsidRDefault="00AF35DD" w:rsidP="00120A17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 w:rsidRPr="00AF35DD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Samarbeid fastlege-SSHF ad. venesectio</w:t>
            </w:r>
          </w:p>
          <w:p w14:paraId="47273F9C" w14:textId="77777777" w:rsidR="00120A17" w:rsidRDefault="0007219F" w:rsidP="008B17F8">
            <w:pPr>
              <w:rPr>
                <w:rFonts w:ascii="Calibri" w:eastAsiaTheme="minorHAnsi" w:hAnsi="Calibri" w:cs="Calibri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222222"/>
                <w:sz w:val="22"/>
                <w:szCs w:val="22"/>
                <w:lang w:eastAsia="en-US"/>
              </w:rPr>
              <w:t>Viser til vedlegg.</w:t>
            </w:r>
          </w:p>
          <w:p w14:paraId="47C01DA9" w14:textId="77777777" w:rsidR="0007219F" w:rsidRDefault="0007219F" w:rsidP="008B17F8">
            <w:pPr>
              <w:rPr>
                <w:rFonts w:ascii="Calibri" w:eastAsiaTheme="minorHAnsi" w:hAnsi="Calibri" w:cs="Calibri"/>
                <w:color w:val="222222"/>
                <w:sz w:val="22"/>
                <w:szCs w:val="22"/>
                <w:lang w:eastAsia="en-US"/>
              </w:rPr>
            </w:pPr>
          </w:p>
          <w:p w14:paraId="303EBC01" w14:textId="77777777" w:rsidR="00120A17" w:rsidRPr="00F240DE" w:rsidRDefault="00120A17" w:rsidP="00120A17">
            <w:pPr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</w:pPr>
            <w:r w:rsidRPr="00F240DE"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  <w:t>Konklusjon:</w:t>
            </w:r>
          </w:p>
          <w:p w14:paraId="71BF4382" w14:textId="77777777" w:rsidR="0007219F" w:rsidRPr="0007219F" w:rsidRDefault="00BC7DBA" w:rsidP="0007219F">
            <w:pPr>
              <w:pStyle w:val="Listeavsnitt"/>
              <w:numPr>
                <w:ilvl w:val="0"/>
                <w:numId w:val="4"/>
              </w:numP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>Selv om v</w:t>
            </w:r>
            <w:r w:rsidR="0007219F"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enesectio </w:t>
            </w:r>
            <w: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av sedvane hovedsakelig utføres ved SSHF på Agder, </w:t>
            </w:r>
            <w:r w:rsidR="0007219F"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er </w:t>
            </w:r>
            <w: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dette </w:t>
            </w:r>
            <w:r w:rsidR="0007219F"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ikke </w:t>
            </w:r>
            <w: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klart </w:t>
            </w:r>
            <w:r w:rsidR="0007219F"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>definert som en spesialisthelsetjenesteoppgave eller en fastlegeoppgave</w:t>
            </w:r>
            <w: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>,</w:t>
            </w:r>
            <w:r w:rsidR="0007219F"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 og </w:t>
            </w:r>
            <w:r w:rsidR="0007219F" w:rsidRPr="0007219F"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MSR </w:t>
            </w:r>
            <w:r w:rsidR="0007219F"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vurderer at </w:t>
            </w:r>
            <w:r w:rsidR="0007219F" w:rsidRPr="0007219F"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>oppgave</w:t>
            </w:r>
            <w:r w:rsidR="0007219F"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>n</w:t>
            </w:r>
            <w:r w:rsidR="0007219F" w:rsidRPr="0007219F"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 </w:t>
            </w:r>
            <w:r w:rsidR="0007219F"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faglig forsvarlig </w:t>
            </w:r>
            <w:r w:rsidR="009E1040"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kan </w:t>
            </w:r>
            <w:r w:rsidR="0007219F"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>utføres av begge nivå</w:t>
            </w:r>
            <w:r w:rsidR="0007219F" w:rsidRPr="0007219F"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 </w:t>
            </w:r>
          </w:p>
          <w:p w14:paraId="518DC790" w14:textId="77777777" w:rsidR="009E1040" w:rsidRDefault="009E1040" w:rsidP="009E1040">
            <w:pPr>
              <w:pStyle w:val="Listeavsnitt"/>
              <w:numPr>
                <w:ilvl w:val="0"/>
                <w:numId w:val="4"/>
              </w:numP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>MSR anbefaler:</w:t>
            </w:r>
          </w:p>
          <w:p w14:paraId="472DCA89" w14:textId="77777777" w:rsidR="009E1040" w:rsidRDefault="009E1040" w:rsidP="009E1040">
            <w:pPr>
              <w:pStyle w:val="Listeavsnitt"/>
              <w:numPr>
                <w:ilvl w:val="0"/>
                <w:numId w:val="20"/>
              </w:numP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</w:pPr>
            <w:r w:rsidRPr="0007219F"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>a</w:t>
            </w:r>
            <w: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>t</w:t>
            </w:r>
            <w:r w:rsidRPr="0007219F"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SSHF </w:t>
            </w:r>
            <w:r w:rsidRPr="0007219F"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>lage</w:t>
            </w:r>
            <w: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>r</w:t>
            </w:r>
            <w:r w:rsidRPr="0007219F"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en veileder med </w:t>
            </w:r>
            <w:r w:rsidRPr="0007219F"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faglige prosedyrer for </w:t>
            </w:r>
            <w: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>venesectio, inkl. rutiner for retur av tappet blod</w:t>
            </w:r>
          </w:p>
          <w:p w14:paraId="42BFC0D6" w14:textId="77777777" w:rsidR="009E1040" w:rsidRDefault="009E1040" w:rsidP="009E1040">
            <w:pPr>
              <w:pStyle w:val="Listeavsnitt"/>
              <w:numPr>
                <w:ilvl w:val="0"/>
                <w:numId w:val="20"/>
              </w:numP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>at SSHF</w:t>
            </w:r>
            <w:r w:rsidRPr="0007219F"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 tilby</w:t>
            </w:r>
            <w: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>r</w:t>
            </w:r>
            <w:r w:rsidRPr="0007219F"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 hospitering/opplæring</w:t>
            </w:r>
            <w: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 til de fastlegene som ønsker dette</w:t>
            </w:r>
          </w:p>
          <w:p w14:paraId="5155AE21" w14:textId="77777777" w:rsidR="009E1040" w:rsidRDefault="009E1040" w:rsidP="009E1040">
            <w:pPr>
              <w:pStyle w:val="Listeavsnitt"/>
              <w:numPr>
                <w:ilvl w:val="0"/>
                <w:numId w:val="20"/>
              </w:numP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at SSHF </w:t>
            </w:r>
            <w:r w:rsidRPr="0007219F"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>tilby</w:t>
            </w:r>
            <w: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>r</w:t>
            </w:r>
            <w:r w:rsidRPr="0007219F"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 nødvendig utstyr kostnadsfritt</w:t>
            </w:r>
            <w: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 (p</w:t>
            </w:r>
            <w:r w:rsidRPr="0007219F"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.t. </w:t>
            </w:r>
            <w: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>tilfaller denne kostnaden pasienten dersom venesectio utføres hos fastlegen)</w:t>
            </w:r>
          </w:p>
          <w:p w14:paraId="5F060067" w14:textId="77777777" w:rsidR="00BC7DBA" w:rsidRDefault="00BC7DBA" w:rsidP="0007219F">
            <w:pPr>
              <w:pStyle w:val="Listeavsnitt"/>
              <w:numPr>
                <w:ilvl w:val="0"/>
                <w:numId w:val="4"/>
              </w:numP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>MSR anbefaler at et samarbeid mellom SSHF og fastlegene om venesectio skjer på frivillig basis</w:t>
            </w:r>
            <w:r w:rsidR="009E1040"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 – altså d</w:t>
            </w:r>
            <w: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ersom det er ønskelig/hensiktsmessig at fastlegen utfører oppgaven, anbefaler MSR </w:t>
            </w:r>
            <w: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lastRenderedPageBreak/>
              <w:t>at SSHF</w:t>
            </w:r>
            <w:r w:rsidR="0007219F" w:rsidRPr="0007219F"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>fore</w:t>
            </w:r>
            <w:r w:rsidR="0007219F" w:rsidRPr="0007219F"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spør </w:t>
            </w:r>
            <w: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>venesectiopasientens f</w:t>
            </w:r>
            <w:r w:rsidR="0007219F" w:rsidRPr="0007219F"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>astlege</w:t>
            </w:r>
            <w: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  <w:t xml:space="preserve"> om vedkommende er villig til dette</w:t>
            </w:r>
          </w:p>
          <w:p w14:paraId="044A5626" w14:textId="77777777" w:rsidR="00120A17" w:rsidRDefault="00120A17" w:rsidP="008B17F8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  <w:p w14:paraId="32D7A468" w14:textId="77777777" w:rsidR="0007219F" w:rsidRPr="0007219F" w:rsidRDefault="0007219F" w:rsidP="008B17F8">
            <w:pPr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</w:pPr>
            <w:r w:rsidRPr="0007219F"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  <w:t>Vedlegg:</w:t>
            </w:r>
          </w:p>
          <w:p w14:paraId="15CAF0E4" w14:textId="77777777" w:rsidR="0007219F" w:rsidRPr="00A32310" w:rsidRDefault="00E77CC8" w:rsidP="00BC7DBA">
            <w:pPr>
              <w:pStyle w:val="Listeavsnitt"/>
              <w:numPr>
                <w:ilvl w:val="0"/>
                <w:numId w:val="19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>Kunnskapsoppsummering - s</w:t>
            </w:r>
            <w:r w:rsidR="00BC7DBA" w:rsidRPr="00BC7DBA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amarbeid fastlege-SSHF ad. venesectio</w:t>
            </w:r>
          </w:p>
          <w:p w14:paraId="25881CC4" w14:textId="77777777" w:rsidR="00280717" w:rsidRPr="00280717" w:rsidRDefault="00280717" w:rsidP="008B17F8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5F0C" w14:textId="77777777" w:rsidR="004B766D" w:rsidRDefault="004B766D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157F3304" w14:textId="77777777" w:rsidR="00026C4D" w:rsidRDefault="00026C4D" w:rsidP="00026C4D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BD4EA68" w14:textId="77777777" w:rsidR="00E77CC8" w:rsidRDefault="00E77CC8" w:rsidP="00026C4D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2317C56" w14:textId="77777777" w:rsidR="00E77CC8" w:rsidRDefault="00E77CC8" w:rsidP="00026C4D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7F7BBFF0" w14:textId="77777777" w:rsidR="00E77CC8" w:rsidRDefault="00E77CC8" w:rsidP="00026C4D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97F4C14" w14:textId="77777777" w:rsidR="00E77CC8" w:rsidRDefault="00E77CC8" w:rsidP="00026C4D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339678B4" w14:textId="77777777" w:rsidR="00E77CC8" w:rsidRDefault="00E77CC8" w:rsidP="00026C4D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2EA15846" w14:textId="77777777" w:rsidR="00E77CC8" w:rsidRDefault="00E77CC8" w:rsidP="00026C4D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7EC448D2" w14:textId="77777777" w:rsidR="00E77CC8" w:rsidRDefault="00E77CC8" w:rsidP="00026C4D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B2AA6DC" w14:textId="77777777" w:rsidR="00E77CC8" w:rsidRPr="00E77CC8" w:rsidRDefault="00E77CC8" w:rsidP="00E77CC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  <w:r w:rsidRPr="00E77CC8"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  <w:t>2.</w:t>
            </w:r>
            <w: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E77CC8"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  <w:t xml:space="preserve">og 3. Kjetil Juva informerer Fagdirektør </w:t>
            </w:r>
          </w:p>
          <w:p w14:paraId="3E502874" w14:textId="77777777" w:rsidR="00E77CC8" w:rsidRDefault="00E77CC8" w:rsidP="00026C4D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242CBE83" w14:textId="77777777" w:rsidR="00E77CC8" w:rsidRDefault="00E77CC8" w:rsidP="00026C4D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63956F4B" w14:textId="77777777" w:rsidR="00E77CC8" w:rsidRDefault="00E77CC8" w:rsidP="00026C4D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</w:tc>
      </w:tr>
      <w:tr w:rsidR="00120A17" w:rsidRPr="00A76967" w14:paraId="7C491BBE" w14:textId="77777777" w:rsidTr="00D836D8">
        <w:trPr>
          <w:trHeight w:val="4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48B3" w14:textId="77777777" w:rsidR="00120A17" w:rsidRDefault="00AF35DD" w:rsidP="004B766D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15</w:t>
            </w:r>
            <w:r w:rsidR="00120A17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/2020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E1C1" w14:textId="77777777" w:rsidR="00120A17" w:rsidRPr="00120A17" w:rsidRDefault="00AF35DD" w:rsidP="00120A17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 w:rsidRPr="00AF35DD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Dialogmeldinger brukt til rådgi</w:t>
            </w:r>
            <w:r w:rsidR="00204CF1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 xml:space="preserve">ving vedrørende </w:t>
            </w:r>
            <w:r w:rsidRPr="00AF35DD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pasient</w:t>
            </w:r>
            <w:r w:rsidR="00204CF1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er</w:t>
            </w:r>
            <w:r w:rsidRPr="00AF35DD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 xml:space="preserve"> som ikke har hatt kontakt med spesialisthelsetjenesten</w:t>
            </w:r>
            <w:r w:rsidR="00204CF1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 xml:space="preserve"> siste 12 måneder</w:t>
            </w:r>
          </w:p>
          <w:p w14:paraId="052D8415" w14:textId="77777777" w:rsidR="00204CF1" w:rsidRDefault="00213D8C" w:rsidP="00213D8C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>Kjøreregler for bruk av d</w:t>
            </w:r>
            <w:r w:rsidRPr="00213D8C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ialogmeldinger 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inkluderer </w:t>
            </w:r>
            <w:r w:rsidRPr="00213D8C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at pasienter </w:t>
            </w:r>
            <w:r w:rsidR="00204CF1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man</w:t>
            </w:r>
            <w:r w:rsidRPr="00213D8C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 sender spørsmål</w:t>
            </w:r>
            <w:r w:rsidR="00204CF1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/gir råd om,</w:t>
            </w:r>
            <w:r w:rsidRPr="00213D8C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 må ha vært i kontakt med sykehuset de siste 12 mnd. </w:t>
            </w:r>
          </w:p>
          <w:p w14:paraId="3E30BA5F" w14:textId="77777777" w:rsidR="00204CF1" w:rsidRDefault="00204CF1" w:rsidP="00213D8C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  <w:p w14:paraId="6E6AB6CF" w14:textId="77777777" w:rsidR="00204CF1" w:rsidRDefault="00204CF1" w:rsidP="00213D8C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MSR oppfatter dette som en samhandlingshemmende begrensning. Dialogmeldinger brukt til rådgiving for pasienter som ikke har hatt kontakt med spesialisthelsetjenesten kan gi fastlegen hjelp i sin oppfølging og behandling, gjøre henvisningene bedre, eller kan hindre «unødvendige» henvisninger. I de tilfeller etterspurt råd betinger pasientkontakt kan spesialisten be om henvisning som svar. </w:t>
            </w:r>
          </w:p>
          <w:p w14:paraId="0EF41D69" w14:textId="77777777" w:rsidR="00204CF1" w:rsidRDefault="00204CF1" w:rsidP="00213D8C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  <w:p w14:paraId="46190283" w14:textId="77777777" w:rsidR="00204CF1" w:rsidRDefault="00204CF1" w:rsidP="00213D8C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Representantene fra SSHF </w:t>
            </w:r>
            <w:r w:rsidR="00213D8C" w:rsidRPr="00213D8C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ønsker å åpne for mer bruk av dette</w:t>
            </w:r>
          </w:p>
          <w:p w14:paraId="48822C5D" w14:textId="77777777" w:rsidR="00213D8C" w:rsidRPr="00213D8C" w:rsidRDefault="00204CF1" w:rsidP="00213D8C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Fastlegerepresentantene oppfatter dette som </w:t>
            </w:r>
            <w:r w:rsidR="00213D8C" w:rsidRPr="00213D8C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en meget god måte å samhandle på, og at svarene sykehuset gir er av høy kvalitet. </w:t>
            </w:r>
          </w:p>
          <w:p w14:paraId="44ECBE48" w14:textId="77777777" w:rsidR="00120A17" w:rsidRDefault="00120A17" w:rsidP="00213D8C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  <w:p w14:paraId="494CA978" w14:textId="77777777" w:rsidR="00120A17" w:rsidRPr="00F240DE" w:rsidRDefault="00120A17" w:rsidP="00120A17">
            <w:pPr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</w:pPr>
            <w:r w:rsidRPr="00F240DE"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  <w:t>Konklusjon:</w:t>
            </w:r>
          </w:p>
          <w:p w14:paraId="1D0E4E37" w14:textId="77777777" w:rsidR="00120A17" w:rsidRPr="00204CF1" w:rsidRDefault="00204CF1" w:rsidP="00BE5B93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  <w:r w:rsidRPr="00204CF1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MSR anbefaler at kjørereglene for bruk av dialogmeldinger revideres slik at samhandling rundt pasienter som ikke har vært i kontakt med spesialisthelsetjenesten siste 12 måneder inkluderes</w:t>
            </w:r>
          </w:p>
          <w:p w14:paraId="48DB63DB" w14:textId="77777777" w:rsidR="00280717" w:rsidRPr="00120A17" w:rsidRDefault="00280717" w:rsidP="00120A17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942A" w14:textId="77777777" w:rsidR="00120A17" w:rsidRDefault="00120A17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94ACD4C" w14:textId="77777777" w:rsidR="00026C4D" w:rsidRDefault="00026C4D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55B2C5BC" w14:textId="77777777" w:rsidR="00204CF1" w:rsidRDefault="00204CF1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6589111" w14:textId="77777777" w:rsidR="00204CF1" w:rsidRDefault="00204CF1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EC215DD" w14:textId="77777777" w:rsidR="00204CF1" w:rsidRDefault="00204CF1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06CD8D37" w14:textId="77777777" w:rsidR="00204CF1" w:rsidRDefault="00204CF1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16AF26DD" w14:textId="77777777" w:rsidR="00204CF1" w:rsidRDefault="00204CF1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5872A262" w14:textId="77777777" w:rsidR="00204CF1" w:rsidRDefault="00204CF1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40CC68FC" w14:textId="77777777" w:rsidR="00204CF1" w:rsidRDefault="00204CF1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7CE46E26" w14:textId="77777777" w:rsidR="00204CF1" w:rsidRDefault="00204CF1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6262A981" w14:textId="77777777" w:rsidR="00204CF1" w:rsidRDefault="00204CF1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7E0DA3E2" w14:textId="77777777" w:rsidR="00204CF1" w:rsidRDefault="00204CF1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6C551620" w14:textId="77777777" w:rsidR="00204CF1" w:rsidRDefault="00204CF1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173EC1BD" w14:textId="77777777" w:rsidR="00204CF1" w:rsidRDefault="00204CF1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5D9B29BA" w14:textId="77777777" w:rsidR="00204CF1" w:rsidRDefault="00204CF1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249CBC02" w14:textId="77777777" w:rsidR="00204CF1" w:rsidRDefault="00204CF1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2BE560BC" w14:textId="77777777" w:rsidR="00204CF1" w:rsidRDefault="00204CF1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19BCD521" w14:textId="77777777" w:rsidR="00204CF1" w:rsidRDefault="00204CF1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  <w:t>Samhandlings-enheten v/ Anton Rodahl</w:t>
            </w:r>
          </w:p>
        </w:tc>
      </w:tr>
      <w:tr w:rsidR="00AF35DD" w:rsidRPr="00A76967" w14:paraId="359CCA25" w14:textId="77777777" w:rsidTr="00D836D8">
        <w:trPr>
          <w:trHeight w:val="4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302D" w14:textId="77777777" w:rsidR="00AF35DD" w:rsidRDefault="00AF35DD" w:rsidP="004B766D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16/2020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F468" w14:textId="77777777" w:rsidR="00AF35DD" w:rsidRDefault="00AF35DD" w:rsidP="00120A17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 w:rsidRPr="00AF35DD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C-19 b</w:t>
            </w: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eslutningsstøtte del 2</w:t>
            </w:r>
          </w:p>
          <w:p w14:paraId="616B0D40" w14:textId="77777777" w:rsidR="00AF35DD" w:rsidRDefault="00204CF1" w:rsidP="00AF35DD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>Forsinket grunnet sykdom. Vil bli tatt opp i MSR for kvalitetssikring i neste møte.</w:t>
            </w:r>
          </w:p>
          <w:p w14:paraId="62E8376D" w14:textId="77777777" w:rsidR="00280717" w:rsidRPr="00280717" w:rsidRDefault="00280717" w:rsidP="00280717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2F03" w14:textId="77777777" w:rsidR="00AF35DD" w:rsidRDefault="00AF35DD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14:paraId="6C4F3478" w14:textId="77777777" w:rsidR="00204CF1" w:rsidRDefault="00204CF1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  <w:t>Kjetil Juva</w:t>
            </w:r>
          </w:p>
        </w:tc>
      </w:tr>
      <w:tr w:rsidR="00AF35DD" w:rsidRPr="00A76967" w14:paraId="413C4CF4" w14:textId="77777777" w:rsidTr="00D836D8">
        <w:trPr>
          <w:trHeight w:val="4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B7B2" w14:textId="77777777" w:rsidR="00AF35DD" w:rsidRDefault="00AF35DD" w:rsidP="004B766D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17/2020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01BB" w14:textId="77777777" w:rsidR="00AF35DD" w:rsidRDefault="00AF35DD" w:rsidP="00AF35DD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 w:rsidRPr="00AF35DD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Orienteringssaker:</w:t>
            </w:r>
          </w:p>
          <w:p w14:paraId="136E2326" w14:textId="77777777" w:rsidR="008B4C62" w:rsidRPr="00AF35DD" w:rsidRDefault="008B4C62" w:rsidP="00AF35DD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</w:p>
          <w:p w14:paraId="034735D6" w14:textId="77777777" w:rsidR="00AF35DD" w:rsidRDefault="00AF35DD" w:rsidP="00AF35DD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 w:rsidRPr="00AF35DD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Smågruppene møter sykehuslegene v/ Anton</w:t>
            </w:r>
          </w:p>
          <w:p w14:paraId="5DE8FBBA" w14:textId="77777777" w:rsidR="00204CF1" w:rsidRDefault="008B4C62" w:rsidP="008B4C62">
            <w:pPr>
              <w:pStyle w:val="Listeavsnitt"/>
              <w:numPr>
                <w:ilvl w:val="0"/>
                <w:numId w:val="21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8B4C62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Praksiskonsulentene har tatt initiativ til å etablere halvårige treffpunkt med fastlegene (gjennom deres smågrupper) og sykehusavdelingene ved alle tre somatiske lokasjoner og KPH. Ansees sterkt samhandlingsbyggende. Igangsettes når C-19 tillater det.</w:t>
            </w:r>
          </w:p>
          <w:p w14:paraId="4E0DF61F" w14:textId="77777777" w:rsidR="008B4C62" w:rsidRPr="008B4C62" w:rsidRDefault="008B4C62" w:rsidP="008B4C62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  <w:p w14:paraId="08A7F528" w14:textId="77777777" w:rsidR="00AF35DD" w:rsidRDefault="00AF35DD" w:rsidP="00AF35DD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 w:rsidRPr="00AF35DD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Multidose v/ Anton</w:t>
            </w:r>
          </w:p>
          <w:p w14:paraId="2E74B69B" w14:textId="77777777" w:rsidR="008B4C62" w:rsidRPr="008B4C62" w:rsidRDefault="008B4C62" w:rsidP="008B4C62">
            <w:pPr>
              <w:pStyle w:val="Listeavsnitt"/>
              <w:numPr>
                <w:ilvl w:val="0"/>
                <w:numId w:val="21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8B4C62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Det pågår et arbeid i regi av Norsk forening for allmennmedisin som tar sikte på å lage kjøreregler/veileder for multidosesamarbeid som vil kunne tilpasses lokale forhold. Agder avventer dette før igangsetting av lokalt prosjekt.</w:t>
            </w:r>
          </w:p>
          <w:p w14:paraId="4E8E1F31" w14:textId="77777777" w:rsidR="00204CF1" w:rsidRDefault="008B4C62" w:rsidP="008B4C62">
            <w:pPr>
              <w:pStyle w:val="Listeavsnitt"/>
              <w:numPr>
                <w:ilvl w:val="0"/>
                <w:numId w:val="21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8B4C62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MSR må få saken tilbake ved en senere anledning.</w:t>
            </w:r>
          </w:p>
          <w:p w14:paraId="3D4F6E32" w14:textId="77777777" w:rsidR="008B4C62" w:rsidRPr="008B4C62" w:rsidRDefault="008B4C62" w:rsidP="008B4C62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  <w:p w14:paraId="2B435460" w14:textId="77777777" w:rsidR="00AF35DD" w:rsidRDefault="00AF35DD" w:rsidP="00AF35DD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 w:rsidRPr="00AF35DD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Evaluering av MSR v/ Kjetil</w:t>
            </w:r>
          </w:p>
          <w:p w14:paraId="5108A30B" w14:textId="77777777" w:rsidR="00204CF1" w:rsidRDefault="008B4C62" w:rsidP="008B4C62">
            <w:pPr>
              <w:pStyle w:val="Listeavsnitt"/>
              <w:numPr>
                <w:ilvl w:val="0"/>
                <w:numId w:val="22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8B4C62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Planlagt evaluering av MSR går ut ettersom Helsefellesskapet Agder – OSS vil gjennomføre evaluering av samtlige samhandlingsråd. Forvent en Questback ila. 2021.</w:t>
            </w:r>
          </w:p>
          <w:p w14:paraId="5363B15D" w14:textId="77777777" w:rsidR="008B4C62" w:rsidRPr="008B4C62" w:rsidRDefault="008B4C62" w:rsidP="008B4C62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  <w:p w14:paraId="32982ADB" w14:textId="77777777" w:rsidR="00204CF1" w:rsidRDefault="00204CF1" w:rsidP="00204CF1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 w:rsidRPr="00AF35DD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Evaluering av PKO v/ Kjetil</w:t>
            </w:r>
          </w:p>
          <w:p w14:paraId="12B0E6E2" w14:textId="77777777" w:rsidR="00204CF1" w:rsidRPr="008B4C62" w:rsidRDefault="008B4C62" w:rsidP="008B4C62">
            <w:pPr>
              <w:pStyle w:val="Listeavsnitt"/>
              <w:numPr>
                <w:ilvl w:val="0"/>
                <w:numId w:val="22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8B4C62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Vil bli gjennomført fra sentralt hold, nasjonalt. Resultatene vil bli presentert for MSR i et senere møte.</w:t>
            </w:r>
          </w:p>
          <w:p w14:paraId="27961EFB" w14:textId="77777777" w:rsidR="00204CF1" w:rsidRPr="00AF35DD" w:rsidRDefault="00204CF1" w:rsidP="00AF35DD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4379" w14:textId="77777777" w:rsidR="00AF35DD" w:rsidRDefault="00AF35DD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</w:tc>
      </w:tr>
      <w:tr w:rsidR="00A37A81" w:rsidRPr="00A76967" w14:paraId="6FE5EA5E" w14:textId="77777777" w:rsidTr="00D836D8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F7DE" w14:textId="77777777" w:rsidR="00A37A81" w:rsidRPr="00497C48" w:rsidRDefault="00AF35DD" w:rsidP="00A37A81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18</w:t>
            </w:r>
            <w:r w:rsidR="00497C48" w:rsidRPr="00497C48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/20</w:t>
            </w:r>
            <w:r w:rsidR="008B17F8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20</w:t>
            </w:r>
          </w:p>
          <w:p w14:paraId="4011E793" w14:textId="77777777" w:rsidR="00A37A81" w:rsidRDefault="00A37A81" w:rsidP="00A37A81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C9C6" w14:textId="77777777" w:rsidR="008B17F8" w:rsidRDefault="00F240DE" w:rsidP="008B17F8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Eventuelt</w:t>
            </w:r>
          </w:p>
          <w:p w14:paraId="02625C78" w14:textId="77777777" w:rsidR="00C42A1B" w:rsidRDefault="00993841" w:rsidP="00AF35DD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993841">
              <w:rPr>
                <w:rFonts w:asciiTheme="minorHAnsi" w:hAnsiTheme="minorHAnsi" w:cs="Segoe UI"/>
                <w:sz w:val="22"/>
                <w:szCs w:val="22"/>
                <w:lang w:eastAsia="en-US"/>
              </w:rPr>
              <w:lastRenderedPageBreak/>
              <w:t>Sykehuset oppfordrer fastleger til å sende C-19- tester til sykehuset for analyse, raskere svar enn via andre lab. Sykehuset har hentebil.</w:t>
            </w:r>
          </w:p>
          <w:p w14:paraId="1282092A" w14:textId="77777777" w:rsidR="00993841" w:rsidRDefault="00993841" w:rsidP="00AF35DD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  <w:p w14:paraId="21A65220" w14:textId="77777777" w:rsidR="00993841" w:rsidRPr="00F240DE" w:rsidRDefault="00993841" w:rsidP="00993841">
            <w:pPr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</w:pPr>
            <w:r w:rsidRPr="00F240DE"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  <w:t>Konklusjon:</w:t>
            </w:r>
          </w:p>
          <w:p w14:paraId="04A95325" w14:textId="77777777" w:rsidR="00993841" w:rsidRDefault="00993841" w:rsidP="00993841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 xml:space="preserve">MSR anbefaler fastlegene å </w:t>
            </w:r>
            <w:r w:rsidRPr="00993841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 xml:space="preserve">sende C-19- tester til </w:t>
            </w:r>
            <w: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SSHF</w:t>
            </w:r>
            <w:r w:rsidRPr="00993841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 xml:space="preserve"> for analyse</w:t>
            </w:r>
            <w: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 xml:space="preserve"> da dette gir raskere svar enn via andre laboratorier</w:t>
            </w:r>
          </w:p>
          <w:p w14:paraId="6EE76AC9" w14:textId="77777777" w:rsidR="00993841" w:rsidRDefault="00993841" w:rsidP="00993841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 xml:space="preserve">MSR anbefaler at alle allmennlegeutvalg (ALU) i Agder informerer om dette </w:t>
            </w:r>
          </w:p>
          <w:p w14:paraId="3EF891A3" w14:textId="77777777" w:rsidR="00993841" w:rsidRPr="00993841" w:rsidRDefault="00993841" w:rsidP="00D94660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993841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MSR anbefaler at informasjonen sendes til alle fastleger gjennom praksisnytt</w:t>
            </w:r>
          </w:p>
          <w:p w14:paraId="60F7F45A" w14:textId="77777777" w:rsidR="00993841" w:rsidRPr="00AF35DD" w:rsidRDefault="00993841" w:rsidP="00AF35DD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0E3E" w14:textId="77777777" w:rsidR="00D54788" w:rsidRDefault="00D54788" w:rsidP="0052564E">
            <w:pPr>
              <w:rPr>
                <w:rFonts w:asciiTheme="minorHAnsi" w:hAnsiTheme="minorHAnsi" w:cs="Segoe UI"/>
                <w:color w:val="FF0000"/>
                <w:sz w:val="22"/>
                <w:szCs w:val="22"/>
              </w:rPr>
            </w:pPr>
          </w:p>
          <w:p w14:paraId="1D3D296E" w14:textId="77777777" w:rsidR="000B0E23" w:rsidRDefault="000B0E23" w:rsidP="0052564E">
            <w:pPr>
              <w:rPr>
                <w:rFonts w:asciiTheme="minorHAnsi" w:hAnsiTheme="minorHAnsi" w:cs="Segoe UI"/>
                <w:color w:val="FF0000"/>
                <w:sz w:val="22"/>
                <w:szCs w:val="22"/>
              </w:rPr>
            </w:pPr>
          </w:p>
          <w:p w14:paraId="4E6B30AF" w14:textId="77777777" w:rsidR="000B0E23" w:rsidRDefault="000B0E23" w:rsidP="0052564E">
            <w:pPr>
              <w:rPr>
                <w:rFonts w:asciiTheme="minorHAnsi" w:hAnsiTheme="minorHAnsi" w:cs="Segoe UI"/>
                <w:color w:val="FF0000"/>
                <w:sz w:val="22"/>
                <w:szCs w:val="22"/>
              </w:rPr>
            </w:pPr>
          </w:p>
          <w:p w14:paraId="01378D9C" w14:textId="77777777" w:rsidR="000B0E23" w:rsidRDefault="000B0E23" w:rsidP="0052564E">
            <w:pPr>
              <w:rPr>
                <w:rFonts w:asciiTheme="minorHAnsi" w:hAnsiTheme="minorHAnsi" w:cs="Segoe UI"/>
                <w:color w:val="FF0000"/>
                <w:sz w:val="22"/>
                <w:szCs w:val="22"/>
              </w:rPr>
            </w:pPr>
          </w:p>
          <w:p w14:paraId="4B403997" w14:textId="77777777" w:rsidR="000B0E23" w:rsidRDefault="000B0E23" w:rsidP="0052564E">
            <w:pPr>
              <w:rPr>
                <w:rFonts w:asciiTheme="minorHAnsi" w:hAnsiTheme="minorHAnsi" w:cs="Segoe UI"/>
                <w:color w:val="FF0000"/>
                <w:sz w:val="22"/>
                <w:szCs w:val="22"/>
              </w:rPr>
            </w:pPr>
          </w:p>
          <w:p w14:paraId="79EE3E3B" w14:textId="77777777" w:rsidR="000B0E23" w:rsidRDefault="000B0E23" w:rsidP="0052564E">
            <w:pPr>
              <w:rPr>
                <w:rFonts w:asciiTheme="minorHAnsi" w:hAnsiTheme="minorHAnsi" w:cs="Segoe UI"/>
                <w:color w:val="FF0000"/>
                <w:sz w:val="22"/>
                <w:szCs w:val="22"/>
              </w:rPr>
            </w:pPr>
          </w:p>
          <w:p w14:paraId="43D643B6" w14:textId="77777777" w:rsidR="000B0E23" w:rsidRDefault="000B0E23" w:rsidP="0052564E">
            <w:pPr>
              <w:rPr>
                <w:rFonts w:asciiTheme="minorHAnsi" w:hAnsiTheme="minorHAnsi" w:cs="Segoe UI"/>
                <w:color w:val="FF0000"/>
                <w:sz w:val="22"/>
                <w:szCs w:val="22"/>
              </w:rPr>
            </w:pPr>
          </w:p>
          <w:p w14:paraId="0DF074B6" w14:textId="77777777" w:rsidR="000B0E23" w:rsidRDefault="000B0E23" w:rsidP="0052564E">
            <w:pPr>
              <w:rPr>
                <w:rFonts w:asciiTheme="minorHAnsi" w:hAnsiTheme="minorHAnsi" w:cs="Segoe UI"/>
                <w:color w:val="FF0000"/>
                <w:sz w:val="22"/>
                <w:szCs w:val="22"/>
              </w:rPr>
            </w:pPr>
          </w:p>
          <w:p w14:paraId="5CBA2A8E" w14:textId="77777777" w:rsidR="000B0E23" w:rsidRDefault="000B0E23" w:rsidP="0052564E">
            <w:pPr>
              <w:rPr>
                <w:rFonts w:asciiTheme="minorHAnsi" w:hAnsiTheme="minorHAnsi" w:cs="Segoe U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FF0000"/>
                <w:sz w:val="22"/>
                <w:szCs w:val="22"/>
              </w:rPr>
              <w:t>ALU-ledere</w:t>
            </w:r>
          </w:p>
          <w:p w14:paraId="6CFF6B84" w14:textId="77777777" w:rsidR="000B0E23" w:rsidRDefault="000B0E23" w:rsidP="0052564E">
            <w:pPr>
              <w:rPr>
                <w:rFonts w:asciiTheme="minorHAnsi" w:hAnsiTheme="minorHAnsi" w:cs="Segoe UI"/>
                <w:color w:val="FF0000"/>
                <w:sz w:val="22"/>
                <w:szCs w:val="22"/>
              </w:rPr>
            </w:pPr>
          </w:p>
          <w:p w14:paraId="1DCC904E" w14:textId="77777777" w:rsidR="000B0E23" w:rsidRDefault="000B0E23" w:rsidP="0052564E">
            <w:pPr>
              <w:rPr>
                <w:rFonts w:asciiTheme="minorHAnsi" w:hAnsiTheme="minorHAnsi" w:cs="Segoe U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FF0000"/>
                <w:sz w:val="22"/>
                <w:szCs w:val="22"/>
              </w:rPr>
              <w:t>Anton Rodahl</w:t>
            </w:r>
          </w:p>
          <w:p w14:paraId="4BC8C2CC" w14:textId="77777777" w:rsidR="00B225D7" w:rsidRPr="00446170" w:rsidRDefault="00B225D7" w:rsidP="00AF35DD">
            <w:pPr>
              <w:rPr>
                <w:rFonts w:asciiTheme="minorHAnsi" w:hAnsiTheme="minorHAnsi" w:cs="Segoe UI"/>
                <w:color w:val="FF0000"/>
                <w:sz w:val="22"/>
                <w:szCs w:val="22"/>
              </w:rPr>
            </w:pPr>
          </w:p>
        </w:tc>
      </w:tr>
      <w:tr w:rsidR="008B4C62" w:rsidRPr="00A76967" w14:paraId="734AE486" w14:textId="77777777" w:rsidTr="00D836D8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0551" w14:textId="77777777" w:rsidR="008B4C62" w:rsidRDefault="008B4C62" w:rsidP="00A37A81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lastRenderedPageBreak/>
              <w:t>19/2020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E74B" w14:textId="77777777" w:rsidR="008B4C62" w:rsidRDefault="008B4C62" w:rsidP="008B17F8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Neste møtedato</w:t>
            </w:r>
          </w:p>
          <w:p w14:paraId="4F32ED2E" w14:textId="77777777" w:rsidR="008B4C62" w:rsidRPr="000B0E23" w:rsidRDefault="000B0E23" w:rsidP="008B17F8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0B0E23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Avhengig av behov/saker og vurderes 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fortløpende </w:t>
            </w:r>
            <w:r w:rsidRPr="000B0E23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av AU-MSR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>.</w:t>
            </w:r>
          </w:p>
          <w:p w14:paraId="6FC1DBBE" w14:textId="77777777" w:rsidR="000B0E23" w:rsidRDefault="000B0E23" w:rsidP="008B17F8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06A6" w14:textId="77777777" w:rsidR="008B4C62" w:rsidRDefault="008B4C62" w:rsidP="0052564E">
            <w:pPr>
              <w:rPr>
                <w:rFonts w:asciiTheme="minorHAnsi" w:hAnsiTheme="minorHAnsi" w:cs="Segoe UI"/>
                <w:color w:val="FF0000"/>
                <w:sz w:val="22"/>
                <w:szCs w:val="22"/>
              </w:rPr>
            </w:pPr>
          </w:p>
          <w:p w14:paraId="63C40D9B" w14:textId="77777777" w:rsidR="000B0E23" w:rsidRDefault="000B0E23" w:rsidP="0052564E">
            <w:pPr>
              <w:rPr>
                <w:rFonts w:asciiTheme="minorHAnsi" w:hAnsiTheme="minorHAnsi" w:cs="Segoe U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FF0000"/>
                <w:sz w:val="22"/>
                <w:szCs w:val="22"/>
              </w:rPr>
              <w:t>Kjetil Juva</w:t>
            </w:r>
          </w:p>
        </w:tc>
      </w:tr>
    </w:tbl>
    <w:p w14:paraId="1B2DD421" w14:textId="77777777" w:rsidR="003B0560" w:rsidRDefault="003B0560" w:rsidP="008A2093">
      <w:pPr>
        <w:jc w:val="right"/>
        <w:rPr>
          <w:rFonts w:asciiTheme="minorHAnsi" w:hAnsiTheme="minorHAnsi"/>
          <w:sz w:val="22"/>
          <w:szCs w:val="22"/>
        </w:rPr>
      </w:pPr>
    </w:p>
    <w:sectPr w:rsidR="003B0560" w:rsidSect="00BD4052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DE34F" w14:textId="77777777" w:rsidR="00A62AFA" w:rsidRDefault="00A62AFA" w:rsidP="00F30E56">
      <w:r>
        <w:separator/>
      </w:r>
    </w:p>
  </w:endnote>
  <w:endnote w:type="continuationSeparator" w:id="0">
    <w:p w14:paraId="1AB488DF" w14:textId="77777777" w:rsidR="00A62AFA" w:rsidRDefault="00A62AFA" w:rsidP="00F3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91D86" w14:textId="77777777" w:rsidR="00A62AFA" w:rsidRDefault="00A62AFA" w:rsidP="00F30E56">
      <w:r>
        <w:separator/>
      </w:r>
    </w:p>
  </w:footnote>
  <w:footnote w:type="continuationSeparator" w:id="0">
    <w:p w14:paraId="78F85231" w14:textId="77777777" w:rsidR="00A62AFA" w:rsidRDefault="00A62AFA" w:rsidP="00F30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636B5"/>
    <w:multiLevelType w:val="hybridMultilevel"/>
    <w:tmpl w:val="9EB28E3A"/>
    <w:lvl w:ilvl="0" w:tplc="C4B0248A">
      <w:start w:val="1"/>
      <w:numFmt w:val="decimal"/>
      <w:lvlText w:val="%1."/>
      <w:lvlJc w:val="left"/>
      <w:pPr>
        <w:ind w:left="720" w:hanging="360"/>
      </w:pPr>
      <w:rPr>
        <w:i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452A6"/>
    <w:multiLevelType w:val="hybridMultilevel"/>
    <w:tmpl w:val="EEE096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D160A"/>
    <w:multiLevelType w:val="hybridMultilevel"/>
    <w:tmpl w:val="77E4F9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B237D"/>
    <w:multiLevelType w:val="hybridMultilevel"/>
    <w:tmpl w:val="5672A9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3269D"/>
    <w:multiLevelType w:val="hybridMultilevel"/>
    <w:tmpl w:val="0EB452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C5759"/>
    <w:multiLevelType w:val="hybridMultilevel"/>
    <w:tmpl w:val="E3F0F02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96119"/>
    <w:multiLevelType w:val="hybridMultilevel"/>
    <w:tmpl w:val="5672A9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D5EE3"/>
    <w:multiLevelType w:val="hybridMultilevel"/>
    <w:tmpl w:val="5672A9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A4574"/>
    <w:multiLevelType w:val="hybridMultilevel"/>
    <w:tmpl w:val="5D0E44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261A28"/>
    <w:multiLevelType w:val="hybridMultilevel"/>
    <w:tmpl w:val="48B6ED0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F81BCA"/>
    <w:multiLevelType w:val="hybridMultilevel"/>
    <w:tmpl w:val="B2CA6F4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33B667D"/>
    <w:multiLevelType w:val="hybridMultilevel"/>
    <w:tmpl w:val="2A7E9F2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5882387"/>
    <w:multiLevelType w:val="hybridMultilevel"/>
    <w:tmpl w:val="D35A9AF8"/>
    <w:lvl w:ilvl="0" w:tplc="981CE63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43A3C"/>
    <w:multiLevelType w:val="hybridMultilevel"/>
    <w:tmpl w:val="8B7ED2FA"/>
    <w:lvl w:ilvl="0" w:tplc="041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634052F"/>
    <w:multiLevelType w:val="hybridMultilevel"/>
    <w:tmpl w:val="490EEED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B5021"/>
    <w:multiLevelType w:val="hybridMultilevel"/>
    <w:tmpl w:val="490EEED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75000"/>
    <w:multiLevelType w:val="hybridMultilevel"/>
    <w:tmpl w:val="E3F0F02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E2BD1"/>
    <w:multiLevelType w:val="hybridMultilevel"/>
    <w:tmpl w:val="2D7C3B8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0791A"/>
    <w:multiLevelType w:val="hybridMultilevel"/>
    <w:tmpl w:val="7DACA26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134F58"/>
    <w:multiLevelType w:val="hybridMultilevel"/>
    <w:tmpl w:val="490EEED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A1734"/>
    <w:multiLevelType w:val="hybridMultilevel"/>
    <w:tmpl w:val="EEE096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617E0"/>
    <w:multiLevelType w:val="hybridMultilevel"/>
    <w:tmpl w:val="2C646B3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21"/>
  </w:num>
  <w:num w:numId="4">
    <w:abstractNumId w:val="19"/>
  </w:num>
  <w:num w:numId="5">
    <w:abstractNumId w:val="0"/>
  </w:num>
  <w:num w:numId="6">
    <w:abstractNumId w:val="14"/>
  </w:num>
  <w:num w:numId="7">
    <w:abstractNumId w:val="6"/>
  </w:num>
  <w:num w:numId="8">
    <w:abstractNumId w:val="5"/>
  </w:num>
  <w:num w:numId="9">
    <w:abstractNumId w:val="8"/>
  </w:num>
  <w:num w:numId="10">
    <w:abstractNumId w:val="18"/>
  </w:num>
  <w:num w:numId="11">
    <w:abstractNumId w:val="10"/>
  </w:num>
  <w:num w:numId="12">
    <w:abstractNumId w:val="16"/>
  </w:num>
  <w:num w:numId="13">
    <w:abstractNumId w:val="11"/>
  </w:num>
  <w:num w:numId="14">
    <w:abstractNumId w:val="13"/>
  </w:num>
  <w:num w:numId="15">
    <w:abstractNumId w:val="3"/>
  </w:num>
  <w:num w:numId="16">
    <w:abstractNumId w:val="7"/>
  </w:num>
  <w:num w:numId="17">
    <w:abstractNumId w:val="15"/>
  </w:num>
  <w:num w:numId="18">
    <w:abstractNumId w:val="12"/>
  </w:num>
  <w:num w:numId="19">
    <w:abstractNumId w:val="17"/>
  </w:num>
  <w:num w:numId="20">
    <w:abstractNumId w:val="9"/>
  </w:num>
  <w:num w:numId="21">
    <w:abstractNumId w:val="4"/>
  </w:num>
  <w:num w:numId="22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6EF"/>
    <w:rsid w:val="00015995"/>
    <w:rsid w:val="00026C4D"/>
    <w:rsid w:val="00031A77"/>
    <w:rsid w:val="000432A0"/>
    <w:rsid w:val="00050D12"/>
    <w:rsid w:val="0006339A"/>
    <w:rsid w:val="00065917"/>
    <w:rsid w:val="0007219F"/>
    <w:rsid w:val="00073388"/>
    <w:rsid w:val="000734DC"/>
    <w:rsid w:val="000A19DC"/>
    <w:rsid w:val="000B0E23"/>
    <w:rsid w:val="000B54C0"/>
    <w:rsid w:val="000C22A0"/>
    <w:rsid w:val="000D25C4"/>
    <w:rsid w:val="000D782D"/>
    <w:rsid w:val="000E0FBF"/>
    <w:rsid w:val="0010508E"/>
    <w:rsid w:val="00112690"/>
    <w:rsid w:val="00120A17"/>
    <w:rsid w:val="00146422"/>
    <w:rsid w:val="00186D45"/>
    <w:rsid w:val="001A61EA"/>
    <w:rsid w:val="001D4CEA"/>
    <w:rsid w:val="001D5A8F"/>
    <w:rsid w:val="001E4B67"/>
    <w:rsid w:val="001F200D"/>
    <w:rsid w:val="001F50B9"/>
    <w:rsid w:val="00204CF1"/>
    <w:rsid w:val="00212682"/>
    <w:rsid w:val="00213D8C"/>
    <w:rsid w:val="00213DCE"/>
    <w:rsid w:val="0022405E"/>
    <w:rsid w:val="00225503"/>
    <w:rsid w:val="0024004E"/>
    <w:rsid w:val="00261CF8"/>
    <w:rsid w:val="002655EE"/>
    <w:rsid w:val="0027464A"/>
    <w:rsid w:val="00276C40"/>
    <w:rsid w:val="00280717"/>
    <w:rsid w:val="00292196"/>
    <w:rsid w:val="002A161D"/>
    <w:rsid w:val="002B25F7"/>
    <w:rsid w:val="002C1889"/>
    <w:rsid w:val="002D0C8D"/>
    <w:rsid w:val="002D4BD3"/>
    <w:rsid w:val="002E38D0"/>
    <w:rsid w:val="002F38BC"/>
    <w:rsid w:val="00306F56"/>
    <w:rsid w:val="003201B9"/>
    <w:rsid w:val="00331D0D"/>
    <w:rsid w:val="003358E4"/>
    <w:rsid w:val="00352C90"/>
    <w:rsid w:val="003657E5"/>
    <w:rsid w:val="003859DB"/>
    <w:rsid w:val="00387210"/>
    <w:rsid w:val="003978AC"/>
    <w:rsid w:val="003A0ECB"/>
    <w:rsid w:val="003B0560"/>
    <w:rsid w:val="003D5800"/>
    <w:rsid w:val="003D6ECD"/>
    <w:rsid w:val="003E16EA"/>
    <w:rsid w:val="003E3AD7"/>
    <w:rsid w:val="003E7951"/>
    <w:rsid w:val="00436461"/>
    <w:rsid w:val="0043765C"/>
    <w:rsid w:val="004420BC"/>
    <w:rsid w:val="00446170"/>
    <w:rsid w:val="00453D9E"/>
    <w:rsid w:val="004644F8"/>
    <w:rsid w:val="00466AA2"/>
    <w:rsid w:val="004714BA"/>
    <w:rsid w:val="00473D03"/>
    <w:rsid w:val="00485F3F"/>
    <w:rsid w:val="00497C48"/>
    <w:rsid w:val="004A4C02"/>
    <w:rsid w:val="004B19DF"/>
    <w:rsid w:val="004B766D"/>
    <w:rsid w:val="004F7E81"/>
    <w:rsid w:val="00504DF5"/>
    <w:rsid w:val="00524485"/>
    <w:rsid w:val="00524A40"/>
    <w:rsid w:val="0052564E"/>
    <w:rsid w:val="005267F7"/>
    <w:rsid w:val="00530C2D"/>
    <w:rsid w:val="005453CE"/>
    <w:rsid w:val="005466FB"/>
    <w:rsid w:val="00547C3B"/>
    <w:rsid w:val="00552511"/>
    <w:rsid w:val="00556F96"/>
    <w:rsid w:val="00561A95"/>
    <w:rsid w:val="00566A25"/>
    <w:rsid w:val="005924D7"/>
    <w:rsid w:val="00593E11"/>
    <w:rsid w:val="00597BC3"/>
    <w:rsid w:val="005A57DA"/>
    <w:rsid w:val="005C6AF5"/>
    <w:rsid w:val="005D3B3C"/>
    <w:rsid w:val="00601D13"/>
    <w:rsid w:val="00603CDF"/>
    <w:rsid w:val="0061150D"/>
    <w:rsid w:val="006168B3"/>
    <w:rsid w:val="00631D9B"/>
    <w:rsid w:val="0063419D"/>
    <w:rsid w:val="00666201"/>
    <w:rsid w:val="00674471"/>
    <w:rsid w:val="00676116"/>
    <w:rsid w:val="00690CE7"/>
    <w:rsid w:val="0069767C"/>
    <w:rsid w:val="006C2923"/>
    <w:rsid w:val="0070233C"/>
    <w:rsid w:val="0071025C"/>
    <w:rsid w:val="007238E4"/>
    <w:rsid w:val="00726566"/>
    <w:rsid w:val="00730B9D"/>
    <w:rsid w:val="0073163B"/>
    <w:rsid w:val="00747F7F"/>
    <w:rsid w:val="00754A28"/>
    <w:rsid w:val="00774799"/>
    <w:rsid w:val="00776114"/>
    <w:rsid w:val="00781610"/>
    <w:rsid w:val="007945C1"/>
    <w:rsid w:val="00797208"/>
    <w:rsid w:val="00797A31"/>
    <w:rsid w:val="007A2B7C"/>
    <w:rsid w:val="007A4AB9"/>
    <w:rsid w:val="007C2236"/>
    <w:rsid w:val="007C700A"/>
    <w:rsid w:val="007D1C00"/>
    <w:rsid w:val="007D7E95"/>
    <w:rsid w:val="007E0DB4"/>
    <w:rsid w:val="007F15BF"/>
    <w:rsid w:val="00804ED3"/>
    <w:rsid w:val="00812BD9"/>
    <w:rsid w:val="00820848"/>
    <w:rsid w:val="0082242E"/>
    <w:rsid w:val="008576E9"/>
    <w:rsid w:val="0088357C"/>
    <w:rsid w:val="00895090"/>
    <w:rsid w:val="008A2093"/>
    <w:rsid w:val="008B17F8"/>
    <w:rsid w:val="008B4C62"/>
    <w:rsid w:val="008B6F8B"/>
    <w:rsid w:val="008E6E97"/>
    <w:rsid w:val="008F5417"/>
    <w:rsid w:val="008F6C81"/>
    <w:rsid w:val="00916073"/>
    <w:rsid w:val="00924C29"/>
    <w:rsid w:val="00926884"/>
    <w:rsid w:val="00931058"/>
    <w:rsid w:val="00940C76"/>
    <w:rsid w:val="00941C6D"/>
    <w:rsid w:val="00983E53"/>
    <w:rsid w:val="009935A2"/>
    <w:rsid w:val="00993841"/>
    <w:rsid w:val="00997F68"/>
    <w:rsid w:val="009A6A6A"/>
    <w:rsid w:val="009B2C09"/>
    <w:rsid w:val="009B2F9A"/>
    <w:rsid w:val="009B4252"/>
    <w:rsid w:val="009B5F92"/>
    <w:rsid w:val="009E1040"/>
    <w:rsid w:val="009E4FB4"/>
    <w:rsid w:val="009F558C"/>
    <w:rsid w:val="00A02A42"/>
    <w:rsid w:val="00A13D06"/>
    <w:rsid w:val="00A158E6"/>
    <w:rsid w:val="00A17FC4"/>
    <w:rsid w:val="00A21AC3"/>
    <w:rsid w:val="00A27EDC"/>
    <w:rsid w:val="00A32310"/>
    <w:rsid w:val="00A33B1E"/>
    <w:rsid w:val="00A37A81"/>
    <w:rsid w:val="00A45596"/>
    <w:rsid w:val="00A62315"/>
    <w:rsid w:val="00A62AFA"/>
    <w:rsid w:val="00A722E1"/>
    <w:rsid w:val="00A76967"/>
    <w:rsid w:val="00A811E5"/>
    <w:rsid w:val="00AA3CC2"/>
    <w:rsid w:val="00AA779C"/>
    <w:rsid w:val="00AB1E71"/>
    <w:rsid w:val="00AC33F6"/>
    <w:rsid w:val="00AC371D"/>
    <w:rsid w:val="00AE7794"/>
    <w:rsid w:val="00AF1123"/>
    <w:rsid w:val="00AF35DD"/>
    <w:rsid w:val="00B00983"/>
    <w:rsid w:val="00B209F6"/>
    <w:rsid w:val="00B225D7"/>
    <w:rsid w:val="00B269D7"/>
    <w:rsid w:val="00B4437F"/>
    <w:rsid w:val="00B63021"/>
    <w:rsid w:val="00B645DC"/>
    <w:rsid w:val="00B66912"/>
    <w:rsid w:val="00B71E12"/>
    <w:rsid w:val="00B80D3B"/>
    <w:rsid w:val="00B90FA4"/>
    <w:rsid w:val="00B96340"/>
    <w:rsid w:val="00BB1EB2"/>
    <w:rsid w:val="00BB4A00"/>
    <w:rsid w:val="00BB59BE"/>
    <w:rsid w:val="00BC4239"/>
    <w:rsid w:val="00BC6D52"/>
    <w:rsid w:val="00BC7DBA"/>
    <w:rsid w:val="00BD1933"/>
    <w:rsid w:val="00BD4052"/>
    <w:rsid w:val="00BD7284"/>
    <w:rsid w:val="00BE0EE1"/>
    <w:rsid w:val="00BE3E35"/>
    <w:rsid w:val="00BE5704"/>
    <w:rsid w:val="00BE6808"/>
    <w:rsid w:val="00BF20AA"/>
    <w:rsid w:val="00C07405"/>
    <w:rsid w:val="00C10B4C"/>
    <w:rsid w:val="00C20C4D"/>
    <w:rsid w:val="00C342C0"/>
    <w:rsid w:val="00C3576E"/>
    <w:rsid w:val="00C41F68"/>
    <w:rsid w:val="00C42A1B"/>
    <w:rsid w:val="00C542AC"/>
    <w:rsid w:val="00C559B6"/>
    <w:rsid w:val="00C74479"/>
    <w:rsid w:val="00C945EC"/>
    <w:rsid w:val="00CB3333"/>
    <w:rsid w:val="00CC2AED"/>
    <w:rsid w:val="00CD7C9E"/>
    <w:rsid w:val="00CE2262"/>
    <w:rsid w:val="00CF4EF9"/>
    <w:rsid w:val="00CF724E"/>
    <w:rsid w:val="00D27254"/>
    <w:rsid w:val="00D31967"/>
    <w:rsid w:val="00D375CC"/>
    <w:rsid w:val="00D46B49"/>
    <w:rsid w:val="00D54788"/>
    <w:rsid w:val="00D6489C"/>
    <w:rsid w:val="00D67216"/>
    <w:rsid w:val="00D75B10"/>
    <w:rsid w:val="00D836D8"/>
    <w:rsid w:val="00DC66DE"/>
    <w:rsid w:val="00DD2497"/>
    <w:rsid w:val="00DD6706"/>
    <w:rsid w:val="00DE7224"/>
    <w:rsid w:val="00E014CE"/>
    <w:rsid w:val="00E17898"/>
    <w:rsid w:val="00E31BAC"/>
    <w:rsid w:val="00E431FA"/>
    <w:rsid w:val="00E45E70"/>
    <w:rsid w:val="00E64C1F"/>
    <w:rsid w:val="00E706FE"/>
    <w:rsid w:val="00E7209C"/>
    <w:rsid w:val="00E76B7C"/>
    <w:rsid w:val="00E77CC8"/>
    <w:rsid w:val="00E8442C"/>
    <w:rsid w:val="00E916E2"/>
    <w:rsid w:val="00E946E9"/>
    <w:rsid w:val="00E95187"/>
    <w:rsid w:val="00EE47E3"/>
    <w:rsid w:val="00F15270"/>
    <w:rsid w:val="00F202B9"/>
    <w:rsid w:val="00F23451"/>
    <w:rsid w:val="00F240DE"/>
    <w:rsid w:val="00F254D6"/>
    <w:rsid w:val="00F262C1"/>
    <w:rsid w:val="00F30E56"/>
    <w:rsid w:val="00F36191"/>
    <w:rsid w:val="00F641EB"/>
    <w:rsid w:val="00F662B3"/>
    <w:rsid w:val="00F676EF"/>
    <w:rsid w:val="00F84BA6"/>
    <w:rsid w:val="00FA16AA"/>
    <w:rsid w:val="00FA3003"/>
    <w:rsid w:val="00FC39F3"/>
    <w:rsid w:val="00FE04DD"/>
    <w:rsid w:val="00FE446E"/>
    <w:rsid w:val="00FF22CD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B7E23"/>
  <w15:docId w15:val="{DC95A8EB-0B91-4DE7-9D1C-A056878A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67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676E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431F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431FA"/>
    <w:rPr>
      <w:rFonts w:ascii="Tahoma" w:eastAsia="Times New Roman" w:hAnsi="Tahoma" w:cs="Tahoma"/>
      <w:sz w:val="16"/>
      <w:szCs w:val="16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F30E5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30E56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F30E5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30E56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6721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6721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67216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6721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67216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customStyle="1" w:styleId="BrdtekstT">
    <w:name w:val="Brødtekst T"/>
    <w:basedOn w:val="Normal"/>
    <w:link w:val="BrdtekstTTegn"/>
    <w:qFormat/>
    <w:rsid w:val="008B17F8"/>
    <w:pPr>
      <w:spacing w:after="240" w:line="280" w:lineRule="atLeast"/>
    </w:pPr>
    <w:rPr>
      <w:color w:val="595959"/>
      <w:lang w:eastAsia="en-US"/>
    </w:rPr>
  </w:style>
  <w:style w:type="character" w:customStyle="1" w:styleId="BrdtekstTTegn">
    <w:name w:val="Brødtekst T Tegn"/>
    <w:basedOn w:val="Standardskriftforavsnitt"/>
    <w:link w:val="BrdtekstT"/>
    <w:rsid w:val="008B17F8"/>
    <w:rPr>
      <w:rFonts w:ascii="Times New Roman" w:eastAsia="Times New Roman" w:hAnsi="Times New Roman" w:cs="Times New Roman"/>
      <w:color w:val="595959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40DE"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uiPriority w:val="99"/>
    <w:unhideWhenUsed/>
    <w:rsid w:val="00A21AC3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A21A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5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5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31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242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06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5700">
          <w:marLeft w:val="288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6687">
          <w:marLeft w:val="87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4403">
          <w:marLeft w:val="87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7505">
          <w:marLeft w:val="288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455">
          <w:marLeft w:val="87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8008">
          <w:marLeft w:val="87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26">
          <w:marLeft w:val="288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581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413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205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666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1049">
          <w:marLeft w:val="288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2171">
          <w:marLeft w:val="288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30007">
          <w:marLeft w:val="28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686">
          <w:marLeft w:val="28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100">
          <w:marLeft w:val="28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9826">
          <w:marLeft w:val="28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5071">
          <w:marLeft w:val="72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636">
          <w:marLeft w:val="72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3275">
          <w:marLeft w:val="72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145">
          <w:marLeft w:val="72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448">
          <w:marLeft w:val="72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3947">
          <w:marLeft w:val="72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8035">
          <w:marLeft w:val="288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878">
          <w:marLeft w:val="72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6742">
          <w:marLeft w:val="720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314">
          <w:marLeft w:val="720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0095">
          <w:marLeft w:val="720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2076">
          <w:marLeft w:val="87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39397">
          <w:marLeft w:val="87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772">
          <w:marLeft w:val="87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102">
          <w:marLeft w:val="87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752">
          <w:marLeft w:val="87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124">
          <w:marLeft w:val="87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90441">
          <w:marLeft w:val="28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7974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286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337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0474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0272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519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517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5591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985">
          <w:marLeft w:val="1469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410">
          <w:marLeft w:val="1469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3408">
          <w:marLeft w:val="28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531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7809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0526">
          <w:marLeft w:val="28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475">
          <w:marLeft w:val="28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190">
          <w:marLeft w:val="28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736">
          <w:marLeft w:val="28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8513">
          <w:marLeft w:val="28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699">
          <w:marLeft w:val="28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43">
          <w:marLeft w:val="28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5564">
          <w:marLeft w:val="28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4293">
          <w:marLeft w:val="28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352">
          <w:marLeft w:val="28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ksisnytt.n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ksisnytt.n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ksisnytt.n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AF764-041A-45C8-8F44-C92AA6B9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2181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Agder IKS</Company>
  <LinksUpToDate>false</LinksUpToDate>
  <CharactersWithSpaces>13714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harrs</dc:creator>
  <cp:lastModifiedBy>Anton Rodahl</cp:lastModifiedBy>
  <cp:revision>2</cp:revision>
  <cp:lastPrinted>2017-11-09T08:54:00Z</cp:lastPrinted>
  <dcterms:created xsi:type="dcterms:W3CDTF">2021-05-04T11:11:00Z</dcterms:created>
  <dcterms:modified xsi:type="dcterms:W3CDTF">2021-05-04T11:11:00Z</dcterms:modified>
</cp:coreProperties>
</file>